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0DA2B" w14:textId="037124A3" w:rsidR="00620DAD" w:rsidRPr="00DA112E" w:rsidRDefault="00620DAD">
      <w:pPr>
        <w:rPr>
          <w:rFonts w:asciiTheme="minorHAnsi" w:hAnsiTheme="minorHAnsi"/>
        </w:rPr>
      </w:pPr>
    </w:p>
    <w:p w14:paraId="28CBF58C" w14:textId="12CB9728" w:rsidR="5D5CA363" w:rsidRPr="00DA112E" w:rsidRDefault="5D5CA363" w:rsidP="5D5CA363">
      <w:pPr>
        <w:rPr>
          <w:rFonts w:asciiTheme="minorHAnsi" w:hAnsiTheme="minorHAnsi"/>
        </w:rPr>
      </w:pPr>
    </w:p>
    <w:p w14:paraId="5FFA6539" w14:textId="201E7F3E" w:rsidR="00203CE7" w:rsidRPr="00DA112E" w:rsidRDefault="00203CE7">
      <w:pPr>
        <w:rPr>
          <w:rFonts w:asciiTheme="minorHAnsi" w:hAnsiTheme="minorHAnsi"/>
        </w:rPr>
      </w:pPr>
    </w:p>
    <w:p w14:paraId="45912E86" w14:textId="77777777" w:rsidR="00203CE7" w:rsidRPr="00DA112E" w:rsidRDefault="00203CE7">
      <w:pPr>
        <w:rPr>
          <w:rFonts w:asciiTheme="minorHAnsi" w:hAnsiTheme="minorHAnsi"/>
        </w:rPr>
      </w:pPr>
    </w:p>
    <w:p w14:paraId="7D4C78E4" w14:textId="77777777" w:rsidR="003A0CCA" w:rsidRDefault="003A0CCA" w:rsidP="003A0CCA">
      <w:pPr>
        <w:pStyle w:val="Style2"/>
        <w:keepNext/>
        <w:keepLines/>
        <w:shd w:val="clear" w:color="auto" w:fill="auto"/>
        <w:rPr>
          <w:rFonts w:asciiTheme="minorHAnsi" w:hAnsiTheme="minorHAnsi"/>
          <w:b/>
          <w:sz w:val="28"/>
          <w:szCs w:val="28"/>
        </w:rPr>
      </w:pPr>
    </w:p>
    <w:p w14:paraId="4950F077" w14:textId="79C6B132" w:rsidR="00203CE7" w:rsidRPr="00DA112E" w:rsidRDefault="00203CE7" w:rsidP="003A0CCA">
      <w:pPr>
        <w:pStyle w:val="Style2"/>
        <w:keepNext/>
        <w:keepLines/>
        <w:shd w:val="clear" w:color="auto" w:fill="auto"/>
        <w:jc w:val="center"/>
        <w:rPr>
          <w:rFonts w:asciiTheme="minorHAnsi" w:hAnsiTheme="minorHAnsi"/>
          <w:b/>
          <w:sz w:val="28"/>
          <w:szCs w:val="28"/>
        </w:rPr>
      </w:pPr>
      <w:r w:rsidRPr="00DA112E">
        <w:rPr>
          <w:rFonts w:asciiTheme="minorHAnsi" w:hAnsiTheme="minorHAnsi"/>
          <w:b/>
          <w:sz w:val="28"/>
          <w:szCs w:val="28"/>
        </w:rPr>
        <w:t>Turtle Dove Cambridge</w:t>
      </w:r>
      <w:r w:rsidR="00DA112E" w:rsidRPr="00DA112E">
        <w:rPr>
          <w:rFonts w:asciiTheme="minorHAnsi" w:hAnsiTheme="minorHAnsi"/>
          <w:b/>
          <w:sz w:val="28"/>
          <w:szCs w:val="28"/>
        </w:rPr>
        <w:t xml:space="preserve"> Community Interest Company</w:t>
      </w:r>
    </w:p>
    <w:p w14:paraId="0C1FAC6E" w14:textId="77777777" w:rsidR="00203CE7" w:rsidRPr="00DA112E" w:rsidRDefault="00203CE7" w:rsidP="00203CE7">
      <w:pPr>
        <w:pStyle w:val="Style2"/>
        <w:keepNext/>
        <w:keepLines/>
        <w:shd w:val="clear" w:color="auto" w:fill="auto"/>
        <w:jc w:val="center"/>
        <w:rPr>
          <w:rFonts w:asciiTheme="minorHAnsi" w:hAnsiTheme="minorHAnsi"/>
          <w:b/>
          <w:sz w:val="28"/>
          <w:szCs w:val="28"/>
        </w:rPr>
      </w:pPr>
    </w:p>
    <w:p w14:paraId="334756F2" w14:textId="270490DC" w:rsidR="00203CE7" w:rsidRPr="00DA112E" w:rsidRDefault="00203CE7" w:rsidP="00203CE7">
      <w:pPr>
        <w:pStyle w:val="Style2"/>
        <w:keepNext/>
        <w:keepLines/>
        <w:shd w:val="clear" w:color="auto" w:fill="auto"/>
        <w:jc w:val="center"/>
        <w:rPr>
          <w:rFonts w:asciiTheme="minorHAnsi" w:hAnsiTheme="minorHAnsi"/>
          <w:b/>
          <w:sz w:val="28"/>
          <w:szCs w:val="28"/>
        </w:rPr>
      </w:pPr>
      <w:r w:rsidRPr="00DA112E">
        <w:rPr>
          <w:rFonts w:asciiTheme="minorHAnsi" w:hAnsiTheme="minorHAnsi"/>
          <w:b/>
          <w:sz w:val="28"/>
          <w:szCs w:val="28"/>
        </w:rPr>
        <w:t xml:space="preserve">Data Protection </w:t>
      </w:r>
      <w:r w:rsidR="00150AA1" w:rsidRPr="00DA112E">
        <w:rPr>
          <w:rFonts w:asciiTheme="minorHAnsi" w:hAnsiTheme="minorHAnsi"/>
          <w:b/>
          <w:sz w:val="28"/>
          <w:szCs w:val="28"/>
        </w:rPr>
        <w:t xml:space="preserve">and GDPR </w:t>
      </w:r>
      <w:r w:rsidRPr="00DA112E">
        <w:rPr>
          <w:rFonts w:asciiTheme="minorHAnsi" w:hAnsiTheme="minorHAnsi"/>
          <w:b/>
          <w:sz w:val="28"/>
          <w:szCs w:val="28"/>
        </w:rPr>
        <w:t>Policy</w:t>
      </w:r>
    </w:p>
    <w:p w14:paraId="43A21E7F" w14:textId="77777777" w:rsidR="00203CE7" w:rsidRPr="00DA112E" w:rsidRDefault="00203CE7" w:rsidP="00203CE7">
      <w:pPr>
        <w:pStyle w:val="Style2"/>
        <w:keepNext/>
        <w:keepLines/>
        <w:shd w:val="clear" w:color="auto" w:fill="auto"/>
        <w:jc w:val="center"/>
        <w:rPr>
          <w:rFonts w:asciiTheme="minorHAnsi" w:hAnsiTheme="minorHAnsi"/>
          <w:b/>
          <w:sz w:val="28"/>
          <w:szCs w:val="28"/>
        </w:rPr>
      </w:pPr>
    </w:p>
    <w:p w14:paraId="3A237562" w14:textId="4809BFBC" w:rsidR="00203CE7" w:rsidRPr="00DA112E" w:rsidRDefault="00652EBB" w:rsidP="00203CE7">
      <w:pPr>
        <w:pStyle w:val="Style2"/>
        <w:keepNext/>
        <w:keepLines/>
        <w:shd w:val="clear" w:color="auto" w:fill="auto"/>
        <w:jc w:val="center"/>
        <w:rPr>
          <w:rFonts w:asciiTheme="minorHAnsi" w:hAnsiTheme="minorHAnsi"/>
          <w:b/>
          <w:sz w:val="28"/>
          <w:szCs w:val="28"/>
        </w:rPr>
      </w:pPr>
      <w:r w:rsidRPr="00DA112E">
        <w:rPr>
          <w:rFonts w:asciiTheme="minorHAnsi" w:hAnsiTheme="minorHAnsi"/>
          <w:b/>
          <w:sz w:val="28"/>
          <w:szCs w:val="28"/>
        </w:rPr>
        <w:t>Reviewed</w:t>
      </w:r>
      <w:r w:rsidR="00203CE7" w:rsidRPr="00DA112E">
        <w:rPr>
          <w:rFonts w:asciiTheme="minorHAnsi" w:hAnsiTheme="minorHAnsi"/>
          <w:b/>
          <w:sz w:val="28"/>
          <w:szCs w:val="28"/>
        </w:rPr>
        <w:t xml:space="preserve">: </w:t>
      </w:r>
      <w:r w:rsidR="00570777">
        <w:rPr>
          <w:rFonts w:asciiTheme="minorHAnsi" w:hAnsiTheme="minorHAnsi"/>
          <w:b/>
          <w:sz w:val="28"/>
          <w:szCs w:val="28"/>
        </w:rPr>
        <w:t>February</w:t>
      </w:r>
      <w:r w:rsidR="003A0CCA">
        <w:rPr>
          <w:rFonts w:asciiTheme="minorHAnsi" w:hAnsiTheme="minorHAnsi"/>
          <w:b/>
          <w:sz w:val="28"/>
          <w:szCs w:val="28"/>
        </w:rPr>
        <w:t xml:space="preserve"> 202</w:t>
      </w:r>
      <w:r w:rsidR="00570777">
        <w:rPr>
          <w:rFonts w:asciiTheme="minorHAnsi" w:hAnsiTheme="minorHAnsi"/>
          <w:b/>
          <w:sz w:val="28"/>
          <w:szCs w:val="28"/>
        </w:rPr>
        <w:t>4</w:t>
      </w:r>
    </w:p>
    <w:p w14:paraId="5A9AF62F" w14:textId="77777777" w:rsidR="00203CE7" w:rsidRPr="00DA112E" w:rsidRDefault="00203CE7" w:rsidP="00203CE7">
      <w:pPr>
        <w:pStyle w:val="Style2"/>
        <w:keepNext/>
        <w:keepLines/>
        <w:shd w:val="clear" w:color="auto" w:fill="auto"/>
        <w:jc w:val="center"/>
        <w:rPr>
          <w:rFonts w:asciiTheme="minorHAnsi" w:hAnsiTheme="minorHAnsi"/>
          <w:b/>
          <w:sz w:val="28"/>
          <w:szCs w:val="28"/>
        </w:rPr>
      </w:pPr>
    </w:p>
    <w:p w14:paraId="6CAF8D59" w14:textId="1B7BA3C9" w:rsidR="00203CE7" w:rsidRPr="00DA112E" w:rsidRDefault="00203CE7" w:rsidP="00203CE7">
      <w:pPr>
        <w:pStyle w:val="Style2"/>
        <w:keepNext/>
        <w:keepLines/>
        <w:shd w:val="clear" w:color="auto" w:fill="auto"/>
        <w:jc w:val="center"/>
        <w:rPr>
          <w:rFonts w:asciiTheme="minorHAnsi" w:hAnsiTheme="minorHAnsi"/>
          <w:b/>
          <w:sz w:val="28"/>
          <w:szCs w:val="28"/>
        </w:rPr>
      </w:pPr>
      <w:r w:rsidRPr="00DA112E">
        <w:rPr>
          <w:rFonts w:asciiTheme="minorHAnsi" w:hAnsiTheme="minorHAnsi"/>
          <w:b/>
          <w:sz w:val="28"/>
          <w:szCs w:val="28"/>
        </w:rPr>
        <w:t xml:space="preserve">Review due: </w:t>
      </w:r>
      <w:r w:rsidR="00570777">
        <w:rPr>
          <w:rFonts w:asciiTheme="minorHAnsi" w:hAnsiTheme="minorHAnsi"/>
          <w:b/>
          <w:sz w:val="28"/>
          <w:szCs w:val="28"/>
        </w:rPr>
        <w:t>February 202</w:t>
      </w:r>
      <w:r w:rsidR="00570777">
        <w:rPr>
          <w:rFonts w:asciiTheme="minorHAnsi" w:hAnsiTheme="minorHAnsi"/>
          <w:b/>
          <w:sz w:val="28"/>
          <w:szCs w:val="28"/>
        </w:rPr>
        <w:t>5</w:t>
      </w:r>
    </w:p>
    <w:p w14:paraId="6180074F" w14:textId="77777777" w:rsidR="00203CE7" w:rsidRPr="00DA112E" w:rsidRDefault="00203CE7" w:rsidP="00203CE7">
      <w:pPr>
        <w:pStyle w:val="Style2"/>
        <w:keepNext/>
        <w:keepLines/>
        <w:shd w:val="clear" w:color="auto" w:fill="auto"/>
        <w:jc w:val="center"/>
        <w:rPr>
          <w:rFonts w:asciiTheme="minorHAnsi" w:hAnsiTheme="minorHAnsi"/>
          <w:b/>
          <w:sz w:val="24"/>
          <w:szCs w:val="24"/>
        </w:rPr>
      </w:pPr>
    </w:p>
    <w:p w14:paraId="533937A8" w14:textId="77777777" w:rsidR="00203CE7" w:rsidRPr="00DA112E" w:rsidRDefault="00203CE7" w:rsidP="00203CE7">
      <w:pPr>
        <w:pStyle w:val="Style2"/>
        <w:keepNext/>
        <w:keepLines/>
        <w:shd w:val="clear" w:color="auto" w:fill="auto"/>
        <w:rPr>
          <w:rFonts w:asciiTheme="minorHAnsi" w:hAnsiTheme="minorHAnsi"/>
          <w:b/>
          <w:sz w:val="24"/>
          <w:szCs w:val="24"/>
        </w:rPr>
      </w:pPr>
    </w:p>
    <w:p w14:paraId="5EF919B3" w14:textId="77777777" w:rsidR="00203CE7" w:rsidRPr="00DA112E" w:rsidRDefault="00203CE7" w:rsidP="00203CE7">
      <w:pPr>
        <w:rPr>
          <w:rFonts w:asciiTheme="minorHAnsi" w:hAnsiTheme="minorHAnsi" w:cs="Arial"/>
        </w:rPr>
      </w:pPr>
    </w:p>
    <w:p w14:paraId="39A11041" w14:textId="77777777" w:rsidR="00203CE7" w:rsidRPr="00DA112E" w:rsidRDefault="00203CE7">
      <w:pPr>
        <w:rPr>
          <w:rFonts w:asciiTheme="minorHAnsi" w:hAnsiTheme="minorHAnsi"/>
        </w:rPr>
      </w:pPr>
    </w:p>
    <w:p w14:paraId="40AE2C10" w14:textId="77777777" w:rsidR="00203CE7" w:rsidRPr="00DA112E" w:rsidRDefault="00203CE7">
      <w:pPr>
        <w:rPr>
          <w:rFonts w:asciiTheme="minorHAnsi" w:hAnsiTheme="minorHAnsi"/>
        </w:rPr>
      </w:pPr>
    </w:p>
    <w:p w14:paraId="60B1937A" w14:textId="77777777" w:rsidR="00203CE7" w:rsidRPr="00DA112E" w:rsidRDefault="00203CE7">
      <w:pPr>
        <w:rPr>
          <w:rFonts w:asciiTheme="minorHAnsi" w:hAnsiTheme="minorHAnsi"/>
        </w:rPr>
      </w:pPr>
    </w:p>
    <w:p w14:paraId="43C9A9A5" w14:textId="77777777" w:rsidR="00203CE7" w:rsidRPr="00DA112E" w:rsidRDefault="00203CE7">
      <w:pPr>
        <w:rPr>
          <w:rFonts w:asciiTheme="minorHAnsi" w:hAnsiTheme="minorHAnsi"/>
        </w:rPr>
      </w:pPr>
    </w:p>
    <w:p w14:paraId="6D685A7C" w14:textId="77777777" w:rsidR="00203CE7" w:rsidRPr="00DA112E" w:rsidRDefault="00203CE7">
      <w:pPr>
        <w:rPr>
          <w:rFonts w:asciiTheme="minorHAnsi" w:hAnsiTheme="minorHAnsi"/>
        </w:rPr>
      </w:pPr>
    </w:p>
    <w:p w14:paraId="6CCAC1CF" w14:textId="77777777" w:rsidR="00203CE7" w:rsidRPr="00DA112E" w:rsidRDefault="00203CE7">
      <w:pPr>
        <w:rPr>
          <w:rFonts w:asciiTheme="minorHAnsi" w:hAnsiTheme="minorHAnsi"/>
        </w:rPr>
      </w:pPr>
    </w:p>
    <w:p w14:paraId="54241717" w14:textId="77777777" w:rsidR="00203CE7" w:rsidRPr="00DA112E" w:rsidRDefault="00203CE7">
      <w:pPr>
        <w:rPr>
          <w:rFonts w:asciiTheme="minorHAnsi" w:hAnsiTheme="minorHAnsi"/>
        </w:rPr>
      </w:pPr>
    </w:p>
    <w:p w14:paraId="30827D2A" w14:textId="77777777" w:rsidR="00203CE7" w:rsidRPr="00DA112E" w:rsidRDefault="00203CE7">
      <w:pPr>
        <w:rPr>
          <w:rFonts w:asciiTheme="minorHAnsi" w:hAnsiTheme="minorHAnsi"/>
        </w:rPr>
      </w:pPr>
    </w:p>
    <w:p w14:paraId="67775260" w14:textId="5665041F" w:rsidR="00203CE7" w:rsidRDefault="00203CE7">
      <w:pPr>
        <w:rPr>
          <w:rFonts w:asciiTheme="minorHAnsi" w:hAnsiTheme="minorHAnsi"/>
        </w:rPr>
      </w:pPr>
    </w:p>
    <w:p w14:paraId="7C5C0442" w14:textId="77777777" w:rsidR="003A0CCA" w:rsidRPr="00DA112E" w:rsidRDefault="003A0CCA">
      <w:pPr>
        <w:rPr>
          <w:rFonts w:asciiTheme="minorHAnsi" w:hAnsiTheme="minorHAnsi"/>
        </w:rPr>
      </w:pPr>
    </w:p>
    <w:p w14:paraId="20BC0420" w14:textId="77777777" w:rsidR="00203CE7" w:rsidRPr="00DA112E" w:rsidRDefault="00203CE7">
      <w:pPr>
        <w:rPr>
          <w:rFonts w:asciiTheme="minorHAnsi" w:hAnsiTheme="minorHAnsi"/>
        </w:rPr>
      </w:pPr>
    </w:p>
    <w:p w14:paraId="0037E1BD" w14:textId="77777777" w:rsidR="00203CE7" w:rsidRPr="00DA112E" w:rsidRDefault="00203CE7">
      <w:pPr>
        <w:rPr>
          <w:rFonts w:asciiTheme="minorHAnsi" w:hAnsiTheme="minorHAnsi"/>
        </w:rPr>
      </w:pPr>
    </w:p>
    <w:p w14:paraId="3F62ECD8" w14:textId="77777777" w:rsidR="00203CE7" w:rsidRPr="00DA112E" w:rsidRDefault="00203CE7">
      <w:pPr>
        <w:rPr>
          <w:rFonts w:asciiTheme="minorHAnsi" w:hAnsiTheme="minorHAnsi"/>
        </w:rPr>
      </w:pPr>
    </w:p>
    <w:p w14:paraId="58D8366D" w14:textId="77777777" w:rsidR="00203CE7" w:rsidRPr="00DA112E" w:rsidRDefault="00203CE7">
      <w:pPr>
        <w:rPr>
          <w:rFonts w:asciiTheme="minorHAnsi" w:hAnsiTheme="minorHAnsi"/>
        </w:rPr>
      </w:pPr>
    </w:p>
    <w:p w14:paraId="049A4497" w14:textId="77777777" w:rsidR="00203CE7" w:rsidRPr="00DA112E" w:rsidRDefault="00203CE7">
      <w:pPr>
        <w:rPr>
          <w:rFonts w:asciiTheme="minorHAnsi" w:hAnsiTheme="minorHAnsi"/>
        </w:rPr>
      </w:pPr>
    </w:p>
    <w:p w14:paraId="2C2D90CE" w14:textId="77777777" w:rsidR="00203CE7" w:rsidRPr="00DA112E" w:rsidRDefault="00203CE7">
      <w:pPr>
        <w:rPr>
          <w:rFonts w:asciiTheme="minorHAnsi" w:hAnsiTheme="minorHAnsi"/>
        </w:rPr>
      </w:pPr>
    </w:p>
    <w:p w14:paraId="49032798" w14:textId="77777777" w:rsidR="00203CE7" w:rsidRPr="00DA112E" w:rsidRDefault="00203CE7">
      <w:pPr>
        <w:rPr>
          <w:rFonts w:asciiTheme="minorHAnsi" w:hAnsiTheme="minorHAnsi"/>
        </w:rPr>
      </w:pPr>
    </w:p>
    <w:p w14:paraId="3D44F85C" w14:textId="77777777" w:rsidR="00203CE7" w:rsidRPr="00DA112E" w:rsidRDefault="00203CE7">
      <w:pPr>
        <w:rPr>
          <w:rFonts w:asciiTheme="minorHAnsi" w:hAnsiTheme="minorHAnsi"/>
        </w:rPr>
      </w:pPr>
    </w:p>
    <w:p w14:paraId="6A23C814" w14:textId="77777777" w:rsidR="00203CE7" w:rsidRPr="00DA112E" w:rsidRDefault="00203CE7">
      <w:pPr>
        <w:rPr>
          <w:rFonts w:asciiTheme="minorHAnsi" w:hAnsiTheme="minorHAnsi"/>
        </w:rPr>
      </w:pPr>
    </w:p>
    <w:p w14:paraId="4BA490BA" w14:textId="77777777" w:rsidR="00203CE7" w:rsidRPr="00DA112E" w:rsidRDefault="00203CE7">
      <w:pPr>
        <w:rPr>
          <w:rFonts w:asciiTheme="minorHAnsi" w:hAnsiTheme="minorHAnsi"/>
        </w:rPr>
      </w:pPr>
    </w:p>
    <w:p w14:paraId="5DAB4774" w14:textId="77777777" w:rsidR="00203CE7" w:rsidRPr="00DA112E" w:rsidRDefault="00203CE7">
      <w:pPr>
        <w:rPr>
          <w:rFonts w:asciiTheme="minorHAnsi" w:hAnsiTheme="minorHAnsi"/>
        </w:rPr>
      </w:pPr>
    </w:p>
    <w:p w14:paraId="6297656B" w14:textId="77777777" w:rsidR="00203CE7" w:rsidRPr="00DA112E" w:rsidRDefault="00203CE7">
      <w:pPr>
        <w:rPr>
          <w:rFonts w:asciiTheme="minorHAnsi" w:hAnsiTheme="minorHAnsi"/>
        </w:rPr>
      </w:pPr>
    </w:p>
    <w:p w14:paraId="03821F33" w14:textId="77777777" w:rsidR="00203CE7" w:rsidRPr="00DA112E" w:rsidRDefault="00203CE7">
      <w:pPr>
        <w:rPr>
          <w:rFonts w:asciiTheme="minorHAnsi" w:hAnsiTheme="minorHAnsi"/>
        </w:rPr>
      </w:pPr>
    </w:p>
    <w:p w14:paraId="0315A370" w14:textId="77777777" w:rsidR="00203CE7" w:rsidRPr="00DA112E" w:rsidRDefault="00203CE7">
      <w:pPr>
        <w:rPr>
          <w:rFonts w:asciiTheme="minorHAnsi" w:hAnsiTheme="minorHAnsi"/>
        </w:rPr>
      </w:pPr>
    </w:p>
    <w:p w14:paraId="2CD6CC36" w14:textId="77777777" w:rsidR="00203CE7" w:rsidRPr="00DA112E" w:rsidRDefault="00203CE7">
      <w:pPr>
        <w:rPr>
          <w:rFonts w:asciiTheme="minorHAnsi" w:hAnsiTheme="minorHAnsi"/>
        </w:rPr>
      </w:pPr>
    </w:p>
    <w:p w14:paraId="0F41C8FE" w14:textId="77777777" w:rsidR="00203CE7" w:rsidRPr="00DA112E" w:rsidRDefault="00203CE7">
      <w:pPr>
        <w:rPr>
          <w:rFonts w:asciiTheme="minorHAnsi" w:hAnsiTheme="minorHAnsi"/>
        </w:rPr>
      </w:pPr>
    </w:p>
    <w:p w14:paraId="5E05CE25" w14:textId="77777777" w:rsidR="00203CE7" w:rsidRPr="00DA112E" w:rsidRDefault="00203CE7">
      <w:pPr>
        <w:rPr>
          <w:rFonts w:asciiTheme="minorHAnsi" w:hAnsiTheme="minorHAnsi"/>
        </w:rPr>
      </w:pPr>
    </w:p>
    <w:p w14:paraId="01EF15E9" w14:textId="77777777" w:rsidR="00203CE7" w:rsidRPr="00DA112E" w:rsidRDefault="00203CE7">
      <w:pPr>
        <w:rPr>
          <w:rFonts w:asciiTheme="minorHAnsi" w:hAnsiTheme="minorHAnsi"/>
        </w:rPr>
      </w:pPr>
    </w:p>
    <w:p w14:paraId="75D20D01" w14:textId="77777777" w:rsidR="00203CE7" w:rsidRPr="00DA112E" w:rsidRDefault="00203CE7">
      <w:pPr>
        <w:rPr>
          <w:rFonts w:asciiTheme="minorHAnsi" w:hAnsiTheme="minorHAnsi"/>
        </w:rPr>
      </w:pPr>
    </w:p>
    <w:p w14:paraId="458A210E" w14:textId="77777777" w:rsidR="00203CE7" w:rsidRPr="00DA112E" w:rsidRDefault="00203CE7">
      <w:pPr>
        <w:rPr>
          <w:rFonts w:asciiTheme="minorHAnsi" w:hAnsiTheme="minorHAnsi"/>
        </w:rPr>
      </w:pPr>
    </w:p>
    <w:p w14:paraId="23940787" w14:textId="77777777" w:rsidR="00203CE7" w:rsidRPr="00DA112E" w:rsidRDefault="00203CE7">
      <w:pPr>
        <w:rPr>
          <w:rFonts w:asciiTheme="minorHAnsi" w:hAnsiTheme="minorHAnsi"/>
        </w:rPr>
      </w:pPr>
    </w:p>
    <w:p w14:paraId="0ADE2F0E" w14:textId="77777777" w:rsidR="007A758F" w:rsidRPr="00DA112E" w:rsidRDefault="007A758F" w:rsidP="007A758F">
      <w:pPr>
        <w:rPr>
          <w:rFonts w:asciiTheme="minorHAnsi" w:hAnsiTheme="minorHAnsi"/>
        </w:rPr>
      </w:pPr>
    </w:p>
    <w:p w14:paraId="1DC49BC6" w14:textId="77777777" w:rsidR="003A0CCA" w:rsidRPr="00DA112E" w:rsidRDefault="003A0CCA" w:rsidP="00E91A26">
      <w:pPr>
        <w:jc w:val="right"/>
        <w:rPr>
          <w:rFonts w:asciiTheme="minorHAnsi" w:hAnsiTheme="minorHAnsi"/>
          <w:b/>
        </w:rPr>
      </w:pPr>
    </w:p>
    <w:p w14:paraId="38F868CD" w14:textId="77777777" w:rsidR="00570777" w:rsidRDefault="00570777" w:rsidP="00FD561D">
      <w:pPr>
        <w:rPr>
          <w:rFonts w:asciiTheme="minorHAnsi" w:hAnsiTheme="minorHAnsi" w:cs="Arial"/>
          <w:b/>
          <w:u w:val="single"/>
        </w:rPr>
      </w:pPr>
    </w:p>
    <w:p w14:paraId="27CF733B" w14:textId="77777777" w:rsidR="00570777" w:rsidRDefault="00570777" w:rsidP="00FD561D">
      <w:pPr>
        <w:rPr>
          <w:rFonts w:asciiTheme="minorHAnsi" w:hAnsiTheme="minorHAnsi" w:cs="Arial"/>
          <w:b/>
          <w:u w:val="single"/>
        </w:rPr>
      </w:pPr>
    </w:p>
    <w:p w14:paraId="5D49B22A" w14:textId="77777777" w:rsidR="00570777" w:rsidRDefault="00570777" w:rsidP="00FD561D">
      <w:pPr>
        <w:rPr>
          <w:rFonts w:asciiTheme="minorHAnsi" w:hAnsiTheme="minorHAnsi" w:cs="Arial"/>
          <w:b/>
          <w:u w:val="single"/>
        </w:rPr>
      </w:pPr>
    </w:p>
    <w:p w14:paraId="2B4C4B8C" w14:textId="5C845F52" w:rsidR="00203CE7" w:rsidRPr="00E436CC" w:rsidRDefault="00203CE7" w:rsidP="00FD561D">
      <w:pPr>
        <w:rPr>
          <w:rFonts w:asciiTheme="minorHAnsi" w:hAnsiTheme="minorHAnsi" w:cs="Arial"/>
          <w:b/>
          <w:u w:val="single"/>
        </w:rPr>
      </w:pPr>
      <w:r w:rsidRPr="00E436CC">
        <w:rPr>
          <w:rFonts w:asciiTheme="minorHAnsi" w:hAnsiTheme="minorHAnsi" w:cs="Arial"/>
          <w:b/>
          <w:u w:val="single"/>
        </w:rPr>
        <w:t>Scope of Policy</w:t>
      </w:r>
    </w:p>
    <w:p w14:paraId="1867DDF4" w14:textId="77777777" w:rsidR="00203CE7" w:rsidRPr="00DA112E" w:rsidRDefault="00203CE7" w:rsidP="00203CE7">
      <w:pPr>
        <w:rPr>
          <w:rFonts w:asciiTheme="minorHAnsi" w:hAnsiTheme="minorHAnsi" w:cs="Arial"/>
          <w:b/>
        </w:rPr>
      </w:pPr>
    </w:p>
    <w:p w14:paraId="5C3690CE" w14:textId="501F8376" w:rsidR="00150AA1" w:rsidRPr="00DA112E" w:rsidRDefault="00203CE7" w:rsidP="003A0CCA">
      <w:pPr>
        <w:rPr>
          <w:rFonts w:asciiTheme="minorHAnsi" w:hAnsiTheme="minorHAnsi" w:cs="Arial"/>
        </w:rPr>
      </w:pPr>
      <w:r w:rsidRPr="00DA112E">
        <w:rPr>
          <w:rFonts w:asciiTheme="minorHAnsi" w:hAnsiTheme="minorHAnsi" w:cs="Arial"/>
        </w:rPr>
        <w:t xml:space="preserve">This </w:t>
      </w:r>
      <w:r w:rsidR="003A0CCA">
        <w:rPr>
          <w:rFonts w:asciiTheme="minorHAnsi" w:hAnsiTheme="minorHAnsi" w:cs="Arial"/>
        </w:rPr>
        <w:t>p</w:t>
      </w:r>
      <w:r w:rsidRPr="00DA112E">
        <w:rPr>
          <w:rFonts w:asciiTheme="minorHAnsi" w:hAnsiTheme="minorHAnsi" w:cs="Arial"/>
        </w:rPr>
        <w:t>olicy covers all Subject Data held by Turtle Dove Cambridge</w:t>
      </w:r>
      <w:r w:rsidR="009B47D5" w:rsidRPr="00DA112E">
        <w:rPr>
          <w:rFonts w:asciiTheme="minorHAnsi" w:hAnsiTheme="minorHAnsi" w:cs="Arial"/>
        </w:rPr>
        <w:t xml:space="preserve"> (TDC)</w:t>
      </w:r>
      <w:r w:rsidRPr="00DA112E">
        <w:rPr>
          <w:rFonts w:asciiTheme="minorHAnsi" w:hAnsiTheme="minorHAnsi" w:cs="Arial"/>
        </w:rPr>
        <w:t xml:space="preserve"> either in paper or electronic format and the way it is handled. It is subject to the terms of the</w:t>
      </w:r>
      <w:r w:rsidR="00150AA1" w:rsidRPr="00DA112E">
        <w:rPr>
          <w:rFonts w:asciiTheme="minorHAnsi" w:hAnsiTheme="minorHAnsi" w:cs="Arial"/>
        </w:rPr>
        <w:t xml:space="preserve"> 2018</w:t>
      </w:r>
      <w:r w:rsidR="00150AA1" w:rsidRPr="00DA112E">
        <w:t xml:space="preserve"> </w:t>
      </w:r>
      <w:r w:rsidR="00150AA1" w:rsidRPr="00DA112E">
        <w:rPr>
          <w:rFonts w:asciiTheme="minorHAnsi" w:hAnsiTheme="minorHAnsi" w:cs="Arial"/>
        </w:rPr>
        <w:t>General Data Protection Regulations (GDPR)</w:t>
      </w:r>
      <w:r w:rsidRPr="00DA112E">
        <w:rPr>
          <w:rFonts w:asciiTheme="minorHAnsi" w:hAnsiTheme="minorHAnsi" w:cs="Arial"/>
        </w:rPr>
        <w:t>.</w:t>
      </w:r>
    </w:p>
    <w:p w14:paraId="4B5987CA" w14:textId="77777777" w:rsidR="00203CE7" w:rsidRPr="00DA112E" w:rsidRDefault="00203CE7" w:rsidP="00203CE7">
      <w:pPr>
        <w:rPr>
          <w:rFonts w:asciiTheme="minorHAnsi" w:hAnsiTheme="minorHAnsi" w:cs="Arial"/>
        </w:rPr>
      </w:pPr>
    </w:p>
    <w:p w14:paraId="3F3E6119" w14:textId="77777777" w:rsidR="00203CE7" w:rsidRPr="00E436CC" w:rsidRDefault="00203CE7" w:rsidP="00FD561D">
      <w:pPr>
        <w:rPr>
          <w:rFonts w:asciiTheme="minorHAnsi" w:hAnsiTheme="minorHAnsi" w:cs="Arial"/>
          <w:b/>
          <w:u w:val="single"/>
        </w:rPr>
      </w:pPr>
      <w:r w:rsidRPr="00E436CC">
        <w:rPr>
          <w:rFonts w:asciiTheme="minorHAnsi" w:hAnsiTheme="minorHAnsi" w:cs="Arial"/>
          <w:b/>
          <w:u w:val="single"/>
        </w:rPr>
        <w:t>Introduction</w:t>
      </w:r>
    </w:p>
    <w:p w14:paraId="45594CC9" w14:textId="77777777" w:rsidR="00203CE7" w:rsidRPr="00DA112E" w:rsidRDefault="00203CE7" w:rsidP="00203CE7">
      <w:pPr>
        <w:rPr>
          <w:rFonts w:asciiTheme="minorHAnsi" w:hAnsiTheme="minorHAnsi" w:cs="Arial"/>
          <w:b/>
        </w:rPr>
      </w:pPr>
    </w:p>
    <w:p w14:paraId="09EE039F" w14:textId="77777777" w:rsidR="00203CE7" w:rsidRPr="00DA112E" w:rsidRDefault="00203CE7" w:rsidP="003A0CCA">
      <w:pPr>
        <w:rPr>
          <w:rFonts w:asciiTheme="minorHAnsi" w:hAnsiTheme="minorHAnsi" w:cs="Arial"/>
        </w:rPr>
      </w:pPr>
      <w:r w:rsidRPr="00DA112E">
        <w:rPr>
          <w:rFonts w:asciiTheme="minorHAnsi" w:hAnsiTheme="minorHAnsi" w:cs="Arial"/>
        </w:rPr>
        <w:t>This policy sets out in a clear and concise way to our staff, volunteers, trustees and service users exactly how we will handle data within our organisation.</w:t>
      </w:r>
    </w:p>
    <w:p w14:paraId="0C57F31F" w14:textId="77777777" w:rsidR="009B47D5" w:rsidRPr="00DA112E" w:rsidRDefault="009B47D5" w:rsidP="009B47D5">
      <w:pPr>
        <w:rPr>
          <w:rFonts w:asciiTheme="minorHAnsi" w:hAnsiTheme="minorHAnsi" w:cs="Arial"/>
        </w:rPr>
      </w:pPr>
    </w:p>
    <w:p w14:paraId="143C5D36" w14:textId="5D60659D" w:rsidR="009B47D5" w:rsidRPr="00DA112E" w:rsidRDefault="009B47D5" w:rsidP="009B47D5">
      <w:pPr>
        <w:rPr>
          <w:rFonts w:asciiTheme="minorHAnsi" w:hAnsiTheme="minorHAnsi" w:cs="Arial"/>
        </w:rPr>
      </w:pPr>
      <w:r w:rsidRPr="00DA112E">
        <w:rPr>
          <w:rFonts w:asciiTheme="minorHAnsi" w:hAnsiTheme="minorHAnsi" w:cs="Arial"/>
        </w:rPr>
        <w:t xml:space="preserve">Information about individuals, whether kept on a computer or in paper format, falls within the scope of </w:t>
      </w:r>
      <w:r w:rsidR="00150AA1" w:rsidRPr="00DA112E">
        <w:rPr>
          <w:rFonts w:asciiTheme="minorHAnsi" w:hAnsiTheme="minorHAnsi" w:cs="Arial"/>
        </w:rPr>
        <w:t>GDPR</w:t>
      </w:r>
      <w:r w:rsidRPr="00DA112E">
        <w:rPr>
          <w:rFonts w:asciiTheme="minorHAnsi" w:hAnsiTheme="minorHAnsi" w:cs="Arial"/>
        </w:rPr>
        <w:t xml:space="preserve"> and must comply with the data protection principles. These are that personal data must be:</w:t>
      </w:r>
    </w:p>
    <w:p w14:paraId="6AD0A7DF" w14:textId="640327A6" w:rsidR="009B47D5" w:rsidRPr="00DA112E" w:rsidRDefault="009B47D5" w:rsidP="009B47D5">
      <w:pPr>
        <w:numPr>
          <w:ilvl w:val="0"/>
          <w:numId w:val="6"/>
        </w:numPr>
        <w:suppressAutoHyphens/>
        <w:autoSpaceDE w:val="0"/>
        <w:autoSpaceDN w:val="0"/>
        <w:rPr>
          <w:rFonts w:asciiTheme="minorHAnsi" w:hAnsiTheme="minorHAnsi" w:cs="Arial"/>
        </w:rPr>
      </w:pPr>
      <w:r w:rsidRPr="00DA112E">
        <w:rPr>
          <w:rFonts w:asciiTheme="minorHAnsi" w:hAnsiTheme="minorHAnsi" w:cs="Arial"/>
        </w:rPr>
        <w:t>Obtained and processed fairly and lawfully</w:t>
      </w:r>
    </w:p>
    <w:p w14:paraId="61C50C3F" w14:textId="77777777" w:rsidR="009B47D5" w:rsidRPr="00DA112E" w:rsidRDefault="009B47D5" w:rsidP="009B47D5">
      <w:pPr>
        <w:numPr>
          <w:ilvl w:val="0"/>
          <w:numId w:val="6"/>
        </w:numPr>
        <w:suppressAutoHyphens/>
        <w:autoSpaceDE w:val="0"/>
        <w:autoSpaceDN w:val="0"/>
        <w:rPr>
          <w:rFonts w:asciiTheme="minorHAnsi" w:hAnsiTheme="minorHAnsi" w:cs="Arial"/>
        </w:rPr>
      </w:pPr>
      <w:r w:rsidRPr="00DA112E">
        <w:rPr>
          <w:rFonts w:asciiTheme="minorHAnsi" w:hAnsiTheme="minorHAnsi" w:cs="Arial"/>
        </w:rPr>
        <w:t>Held only for specified purposes</w:t>
      </w:r>
    </w:p>
    <w:p w14:paraId="5F73BF00" w14:textId="3D54D4CB" w:rsidR="009B47D5" w:rsidRPr="00DA112E" w:rsidRDefault="009B47D5" w:rsidP="009B47D5">
      <w:pPr>
        <w:numPr>
          <w:ilvl w:val="0"/>
          <w:numId w:val="6"/>
        </w:numPr>
        <w:suppressAutoHyphens/>
        <w:autoSpaceDE w:val="0"/>
        <w:autoSpaceDN w:val="0"/>
        <w:rPr>
          <w:rFonts w:asciiTheme="minorHAnsi" w:hAnsiTheme="minorHAnsi" w:cs="Arial"/>
        </w:rPr>
      </w:pPr>
      <w:r w:rsidRPr="00DA112E">
        <w:rPr>
          <w:rFonts w:asciiTheme="minorHAnsi" w:hAnsiTheme="minorHAnsi" w:cs="Arial"/>
        </w:rPr>
        <w:t>Adequate, relevant and not excessive</w:t>
      </w:r>
      <w:r w:rsidR="00150AA1" w:rsidRPr="00DA112E">
        <w:rPr>
          <w:rFonts w:asciiTheme="minorHAnsi" w:hAnsiTheme="minorHAnsi" w:cs="Arial"/>
        </w:rPr>
        <w:t xml:space="preserve"> (</w:t>
      </w:r>
      <w:r w:rsidR="00D34583" w:rsidRPr="00DA112E">
        <w:rPr>
          <w:rFonts w:asciiTheme="minorHAnsi" w:hAnsiTheme="minorHAnsi" w:cs="Arial"/>
        </w:rPr>
        <w:t>in line with the principle of data minimisation)</w:t>
      </w:r>
    </w:p>
    <w:p w14:paraId="76735556" w14:textId="77777777" w:rsidR="009B47D5" w:rsidRPr="00DA112E" w:rsidRDefault="009B47D5" w:rsidP="009B47D5">
      <w:pPr>
        <w:numPr>
          <w:ilvl w:val="0"/>
          <w:numId w:val="6"/>
        </w:numPr>
        <w:suppressAutoHyphens/>
        <w:autoSpaceDE w:val="0"/>
        <w:autoSpaceDN w:val="0"/>
        <w:rPr>
          <w:rFonts w:asciiTheme="minorHAnsi" w:hAnsiTheme="minorHAnsi" w:cs="Arial"/>
        </w:rPr>
      </w:pPr>
      <w:r w:rsidRPr="00DA112E">
        <w:rPr>
          <w:rFonts w:asciiTheme="minorHAnsi" w:hAnsiTheme="minorHAnsi" w:cs="Arial"/>
        </w:rPr>
        <w:t>Accurate and up to date</w:t>
      </w:r>
    </w:p>
    <w:p w14:paraId="419DCB7D" w14:textId="77777777" w:rsidR="009B47D5" w:rsidRPr="00DA112E" w:rsidRDefault="009B47D5" w:rsidP="009B47D5">
      <w:pPr>
        <w:numPr>
          <w:ilvl w:val="0"/>
          <w:numId w:val="6"/>
        </w:numPr>
        <w:suppressAutoHyphens/>
        <w:autoSpaceDE w:val="0"/>
        <w:autoSpaceDN w:val="0"/>
        <w:rPr>
          <w:rFonts w:asciiTheme="minorHAnsi" w:hAnsiTheme="minorHAnsi" w:cs="Arial"/>
        </w:rPr>
      </w:pPr>
      <w:r w:rsidRPr="00DA112E">
        <w:rPr>
          <w:rFonts w:asciiTheme="minorHAnsi" w:hAnsiTheme="minorHAnsi" w:cs="Arial"/>
        </w:rPr>
        <w:t>Not kept longer than necessary</w:t>
      </w:r>
    </w:p>
    <w:p w14:paraId="5D944F01" w14:textId="48458455" w:rsidR="009B47D5" w:rsidRPr="00DA112E" w:rsidRDefault="009B47D5" w:rsidP="009B47D5">
      <w:pPr>
        <w:numPr>
          <w:ilvl w:val="0"/>
          <w:numId w:val="6"/>
        </w:numPr>
        <w:suppressAutoHyphens/>
        <w:autoSpaceDE w:val="0"/>
        <w:autoSpaceDN w:val="0"/>
        <w:rPr>
          <w:rFonts w:asciiTheme="minorHAnsi" w:hAnsiTheme="minorHAnsi" w:cs="Arial"/>
        </w:rPr>
      </w:pPr>
      <w:r w:rsidRPr="00DA112E">
        <w:rPr>
          <w:rFonts w:asciiTheme="minorHAnsi" w:hAnsiTheme="minorHAnsi" w:cs="Arial"/>
        </w:rPr>
        <w:t>Processe</w:t>
      </w:r>
      <w:r w:rsidR="00150AA1" w:rsidRPr="00DA112E">
        <w:rPr>
          <w:rFonts w:asciiTheme="minorHAnsi" w:hAnsiTheme="minorHAnsi" w:cs="Arial"/>
        </w:rPr>
        <w:t>d in accordance with GDPR</w:t>
      </w:r>
    </w:p>
    <w:p w14:paraId="1DA7B5FA" w14:textId="77777777" w:rsidR="009B47D5" w:rsidRPr="00DA112E" w:rsidRDefault="009B47D5" w:rsidP="009B47D5">
      <w:pPr>
        <w:numPr>
          <w:ilvl w:val="0"/>
          <w:numId w:val="6"/>
        </w:numPr>
        <w:suppressAutoHyphens/>
        <w:autoSpaceDE w:val="0"/>
        <w:autoSpaceDN w:val="0"/>
        <w:rPr>
          <w:rFonts w:asciiTheme="minorHAnsi" w:hAnsiTheme="minorHAnsi" w:cs="Arial"/>
        </w:rPr>
      </w:pPr>
      <w:r w:rsidRPr="00DA112E">
        <w:rPr>
          <w:rFonts w:asciiTheme="minorHAnsi" w:hAnsiTheme="minorHAnsi" w:cs="Arial"/>
        </w:rPr>
        <w:t>Kept secure and protected</w:t>
      </w:r>
    </w:p>
    <w:p w14:paraId="5627285A" w14:textId="4AC1D5AC" w:rsidR="00150AA1" w:rsidRPr="00DA112E" w:rsidRDefault="009B47D5" w:rsidP="00150AA1">
      <w:pPr>
        <w:numPr>
          <w:ilvl w:val="0"/>
          <w:numId w:val="6"/>
        </w:numPr>
        <w:suppressAutoHyphens/>
        <w:autoSpaceDE w:val="0"/>
        <w:autoSpaceDN w:val="0"/>
        <w:rPr>
          <w:rFonts w:asciiTheme="minorHAnsi" w:hAnsiTheme="minorHAnsi" w:cs="Arial"/>
        </w:rPr>
      </w:pPr>
      <w:r w:rsidRPr="00DA112E">
        <w:rPr>
          <w:rFonts w:asciiTheme="minorHAnsi" w:hAnsiTheme="minorHAnsi" w:cs="Arial"/>
        </w:rPr>
        <w:t>Not transferred out</w:t>
      </w:r>
      <w:r w:rsidR="003A0CCA">
        <w:rPr>
          <w:rFonts w:asciiTheme="minorHAnsi" w:hAnsiTheme="minorHAnsi" w:cs="Arial"/>
        </w:rPr>
        <w:t>side</w:t>
      </w:r>
      <w:r w:rsidRPr="00DA112E">
        <w:rPr>
          <w:rFonts w:asciiTheme="minorHAnsi" w:hAnsiTheme="minorHAnsi" w:cs="Arial"/>
        </w:rPr>
        <w:t xml:space="preserve"> of Europe</w:t>
      </w:r>
    </w:p>
    <w:p w14:paraId="33477600" w14:textId="77777777" w:rsidR="00203CE7" w:rsidRPr="00DA112E" w:rsidRDefault="00203CE7" w:rsidP="00203CE7">
      <w:pPr>
        <w:rPr>
          <w:rFonts w:asciiTheme="minorHAnsi" w:hAnsiTheme="minorHAnsi" w:cs="Arial"/>
        </w:rPr>
      </w:pPr>
    </w:p>
    <w:p w14:paraId="2EAD125B" w14:textId="74F5166F" w:rsidR="00203CE7" w:rsidRPr="00DA112E" w:rsidRDefault="009B47D5" w:rsidP="009B47D5">
      <w:pPr>
        <w:rPr>
          <w:rFonts w:asciiTheme="minorHAnsi" w:hAnsiTheme="minorHAnsi" w:cs="Arial"/>
        </w:rPr>
      </w:pPr>
      <w:r w:rsidRPr="00DA112E">
        <w:rPr>
          <w:rFonts w:asciiTheme="minorHAnsi" w:hAnsiTheme="minorHAnsi" w:cs="Arial"/>
        </w:rPr>
        <w:t xml:space="preserve">TDC </w:t>
      </w:r>
      <w:r w:rsidR="00203CE7" w:rsidRPr="00DA112E">
        <w:rPr>
          <w:rFonts w:asciiTheme="minorHAnsi" w:hAnsiTheme="minorHAnsi" w:cs="Arial"/>
        </w:rPr>
        <w:t>are committed to</w:t>
      </w:r>
      <w:r w:rsidRPr="00DA112E">
        <w:rPr>
          <w:rFonts w:asciiTheme="minorHAnsi" w:hAnsiTheme="minorHAnsi" w:cs="Arial"/>
        </w:rPr>
        <w:t>:</w:t>
      </w:r>
    </w:p>
    <w:p w14:paraId="17748DB1" w14:textId="77777777" w:rsidR="00203CE7" w:rsidRPr="00DA112E" w:rsidRDefault="00203CE7" w:rsidP="00203CE7">
      <w:pPr>
        <w:numPr>
          <w:ilvl w:val="0"/>
          <w:numId w:val="1"/>
        </w:numPr>
        <w:rPr>
          <w:rFonts w:asciiTheme="minorHAnsi" w:hAnsiTheme="minorHAnsi" w:cs="Arial"/>
        </w:rPr>
      </w:pPr>
      <w:r w:rsidRPr="00DA112E">
        <w:rPr>
          <w:rFonts w:asciiTheme="minorHAnsi" w:hAnsiTheme="minorHAnsi" w:cs="Arial"/>
        </w:rPr>
        <w:t xml:space="preserve">Holding information in a safe and secure manner and only using the information for the purpose for which it was given.  </w:t>
      </w:r>
    </w:p>
    <w:p w14:paraId="71204DC9" w14:textId="77777777" w:rsidR="00203CE7" w:rsidRPr="00DA112E" w:rsidRDefault="00203CE7" w:rsidP="00203CE7">
      <w:pPr>
        <w:numPr>
          <w:ilvl w:val="0"/>
          <w:numId w:val="1"/>
        </w:numPr>
        <w:rPr>
          <w:rFonts w:asciiTheme="minorHAnsi" w:hAnsiTheme="minorHAnsi" w:cs="Arial"/>
        </w:rPr>
      </w:pPr>
      <w:r w:rsidRPr="00DA112E">
        <w:rPr>
          <w:rFonts w:asciiTheme="minorHAnsi" w:hAnsiTheme="minorHAnsi" w:cs="Arial"/>
        </w:rPr>
        <w:t xml:space="preserve">Keeping data up to date and accurate. </w:t>
      </w:r>
    </w:p>
    <w:p w14:paraId="1D55FDD3" w14:textId="77777777" w:rsidR="00203CE7" w:rsidRPr="00DA112E" w:rsidRDefault="00203CE7" w:rsidP="00203CE7">
      <w:pPr>
        <w:numPr>
          <w:ilvl w:val="0"/>
          <w:numId w:val="1"/>
        </w:numPr>
        <w:rPr>
          <w:rFonts w:asciiTheme="minorHAnsi" w:hAnsiTheme="minorHAnsi" w:cs="Arial"/>
        </w:rPr>
      </w:pPr>
      <w:r w:rsidRPr="00DA112E">
        <w:rPr>
          <w:rFonts w:asciiTheme="minorHAnsi" w:hAnsiTheme="minorHAnsi" w:cs="Arial"/>
        </w:rPr>
        <w:t>Removing out of date data from our records and disposing of it securely.</w:t>
      </w:r>
    </w:p>
    <w:p w14:paraId="028BC545" w14:textId="77777777" w:rsidR="00203CE7" w:rsidRPr="00DA112E" w:rsidRDefault="00203CE7" w:rsidP="00203CE7">
      <w:pPr>
        <w:numPr>
          <w:ilvl w:val="0"/>
          <w:numId w:val="1"/>
        </w:numPr>
        <w:rPr>
          <w:rFonts w:asciiTheme="minorHAnsi" w:hAnsiTheme="minorHAnsi" w:cs="Arial"/>
        </w:rPr>
      </w:pPr>
      <w:r w:rsidRPr="00DA112E">
        <w:rPr>
          <w:rFonts w:asciiTheme="minorHAnsi" w:hAnsiTheme="minorHAnsi" w:cs="Arial"/>
        </w:rPr>
        <w:t>Reviewing our policy on a regular basis to ensure that it still meets the needs of the organisation and its members</w:t>
      </w:r>
    </w:p>
    <w:p w14:paraId="15DB7695" w14:textId="77777777" w:rsidR="00203CE7" w:rsidRPr="00DA112E" w:rsidRDefault="00203CE7" w:rsidP="00203CE7">
      <w:pPr>
        <w:numPr>
          <w:ilvl w:val="0"/>
          <w:numId w:val="1"/>
        </w:numPr>
        <w:rPr>
          <w:rFonts w:asciiTheme="minorHAnsi" w:hAnsiTheme="minorHAnsi" w:cs="Arial"/>
        </w:rPr>
      </w:pPr>
      <w:r w:rsidRPr="00DA112E">
        <w:rPr>
          <w:rFonts w:asciiTheme="minorHAnsi" w:hAnsiTheme="minorHAnsi" w:cs="Arial"/>
        </w:rPr>
        <w:t>Not transferring data outside the EEA.</w:t>
      </w:r>
    </w:p>
    <w:p w14:paraId="4D704C80" w14:textId="77777777" w:rsidR="009B47D5" w:rsidRPr="00DA112E" w:rsidRDefault="009B47D5" w:rsidP="009B47D5">
      <w:pPr>
        <w:ind w:left="142"/>
        <w:rPr>
          <w:rFonts w:asciiTheme="minorHAnsi" w:hAnsiTheme="minorHAnsi" w:cs="Arial"/>
        </w:rPr>
      </w:pPr>
    </w:p>
    <w:p w14:paraId="7C61B447" w14:textId="77777777" w:rsidR="00203CE7" w:rsidRPr="00E436CC" w:rsidRDefault="00203CE7" w:rsidP="00FD561D">
      <w:pPr>
        <w:rPr>
          <w:rFonts w:asciiTheme="minorHAnsi" w:hAnsiTheme="minorHAnsi" w:cs="Arial"/>
          <w:b/>
          <w:u w:val="single"/>
        </w:rPr>
      </w:pPr>
      <w:r w:rsidRPr="00E436CC">
        <w:rPr>
          <w:rFonts w:asciiTheme="minorHAnsi" w:hAnsiTheme="minorHAnsi" w:cs="Arial"/>
          <w:b/>
          <w:u w:val="single"/>
        </w:rPr>
        <w:t>Data Collection</w:t>
      </w:r>
    </w:p>
    <w:p w14:paraId="361EF10E" w14:textId="77777777" w:rsidR="00203CE7" w:rsidRPr="00DA112E" w:rsidRDefault="00203CE7" w:rsidP="00203CE7">
      <w:pPr>
        <w:rPr>
          <w:rFonts w:asciiTheme="minorHAnsi" w:hAnsiTheme="minorHAnsi" w:cs="Arial"/>
          <w:b/>
        </w:rPr>
      </w:pPr>
    </w:p>
    <w:p w14:paraId="3D9888A0" w14:textId="77777777" w:rsidR="00203CE7" w:rsidRPr="00DA112E" w:rsidRDefault="00203CE7" w:rsidP="00FD561D">
      <w:pPr>
        <w:rPr>
          <w:rFonts w:asciiTheme="minorHAnsi" w:hAnsiTheme="minorHAnsi" w:cs="Arial"/>
          <w:b/>
        </w:rPr>
      </w:pPr>
      <w:r w:rsidRPr="00DA112E">
        <w:rPr>
          <w:rFonts w:asciiTheme="minorHAnsi" w:hAnsiTheme="minorHAnsi" w:cs="Arial"/>
          <w:b/>
        </w:rPr>
        <w:t>Why we collect data</w:t>
      </w:r>
    </w:p>
    <w:p w14:paraId="33DAC744" w14:textId="77777777" w:rsidR="00203CE7" w:rsidRPr="00DA112E" w:rsidRDefault="00203CE7" w:rsidP="00203CE7">
      <w:pPr>
        <w:ind w:left="360"/>
        <w:rPr>
          <w:rFonts w:asciiTheme="minorHAnsi" w:hAnsiTheme="minorHAnsi" w:cs="Arial"/>
          <w:b/>
        </w:rPr>
      </w:pPr>
    </w:p>
    <w:p w14:paraId="3487E0A7" w14:textId="7ACD12FD" w:rsidR="00203CE7" w:rsidRPr="00DA112E" w:rsidRDefault="00203CE7" w:rsidP="003A0CCA">
      <w:pPr>
        <w:rPr>
          <w:rFonts w:asciiTheme="minorHAnsi" w:hAnsiTheme="minorHAnsi" w:cs="Arial"/>
        </w:rPr>
      </w:pPr>
      <w:r w:rsidRPr="00DA112E">
        <w:rPr>
          <w:rFonts w:asciiTheme="minorHAnsi" w:hAnsiTheme="minorHAnsi" w:cs="Arial"/>
        </w:rPr>
        <w:t>We collect information</w:t>
      </w:r>
      <w:r w:rsidR="00E91A26" w:rsidRPr="00DA112E">
        <w:rPr>
          <w:rFonts w:asciiTheme="minorHAnsi" w:hAnsiTheme="minorHAnsi" w:cs="Arial"/>
        </w:rPr>
        <w:t>:</w:t>
      </w:r>
      <w:r w:rsidR="00D34583" w:rsidRPr="00DA112E">
        <w:rPr>
          <w:rFonts w:asciiTheme="minorHAnsi" w:hAnsiTheme="minorHAnsi" w:cs="Arial"/>
        </w:rPr>
        <w:t xml:space="preserve"> </w:t>
      </w:r>
    </w:p>
    <w:p w14:paraId="7F3E1610" w14:textId="77777777" w:rsidR="00D34583" w:rsidRPr="00DA112E" w:rsidRDefault="00D34583" w:rsidP="00203CE7">
      <w:pPr>
        <w:ind w:firstLine="720"/>
        <w:rPr>
          <w:rFonts w:asciiTheme="minorHAnsi" w:hAnsiTheme="minorHAnsi" w:cs="Arial"/>
        </w:rPr>
      </w:pPr>
    </w:p>
    <w:p w14:paraId="0F628C57" w14:textId="4D17D31F" w:rsidR="00203CE7" w:rsidRPr="00DA112E" w:rsidRDefault="003A0CCA" w:rsidP="00203CE7">
      <w:pPr>
        <w:numPr>
          <w:ilvl w:val="0"/>
          <w:numId w:val="2"/>
        </w:numPr>
        <w:ind w:left="777" w:hanging="357"/>
        <w:rPr>
          <w:rFonts w:asciiTheme="minorHAnsi" w:hAnsiTheme="minorHAnsi" w:cs="Arial"/>
        </w:rPr>
      </w:pPr>
      <w:r>
        <w:rPr>
          <w:rFonts w:asciiTheme="minorHAnsi" w:hAnsiTheme="minorHAnsi" w:cs="Arial"/>
        </w:rPr>
        <w:t>w</w:t>
      </w:r>
      <w:r w:rsidR="00203CE7" w:rsidRPr="00DA112E">
        <w:rPr>
          <w:rFonts w:asciiTheme="minorHAnsi" w:hAnsiTheme="minorHAnsi" w:cs="Arial"/>
        </w:rPr>
        <w:t xml:space="preserve">hich we are required to report to funders </w:t>
      </w:r>
      <w:r>
        <w:rPr>
          <w:rFonts w:asciiTheme="minorHAnsi" w:hAnsiTheme="minorHAnsi" w:cs="Arial"/>
        </w:rPr>
        <w:t xml:space="preserve">on </w:t>
      </w:r>
      <w:r w:rsidR="00203CE7" w:rsidRPr="00DA112E">
        <w:rPr>
          <w:rFonts w:asciiTheme="minorHAnsi" w:hAnsiTheme="minorHAnsi" w:cs="Arial"/>
        </w:rPr>
        <w:t>under grant or Service Level Agreements.</w:t>
      </w:r>
    </w:p>
    <w:p w14:paraId="6ADBABE6" w14:textId="181A1E95" w:rsidR="00203CE7" w:rsidRPr="00DA112E" w:rsidRDefault="003A0CCA" w:rsidP="00203CE7">
      <w:pPr>
        <w:numPr>
          <w:ilvl w:val="0"/>
          <w:numId w:val="2"/>
        </w:numPr>
        <w:ind w:left="777" w:hanging="357"/>
        <w:rPr>
          <w:rFonts w:asciiTheme="minorHAnsi" w:hAnsiTheme="minorHAnsi" w:cs="Arial"/>
        </w:rPr>
      </w:pPr>
      <w:r>
        <w:rPr>
          <w:rFonts w:asciiTheme="minorHAnsi" w:hAnsiTheme="minorHAnsi" w:cs="Arial"/>
        </w:rPr>
        <w:t>o</w:t>
      </w:r>
      <w:r w:rsidR="00203CE7" w:rsidRPr="00DA112E">
        <w:rPr>
          <w:rFonts w:asciiTheme="minorHAnsi" w:hAnsiTheme="minorHAnsi" w:cs="Arial"/>
        </w:rPr>
        <w:t xml:space="preserve">n our staff </w:t>
      </w:r>
      <w:r w:rsidR="009B47D5" w:rsidRPr="00DA112E">
        <w:rPr>
          <w:rFonts w:asciiTheme="minorHAnsi" w:hAnsiTheme="minorHAnsi" w:cs="Arial"/>
        </w:rPr>
        <w:t>and board of directors</w:t>
      </w:r>
      <w:r w:rsidR="007904D3" w:rsidRPr="00DA112E">
        <w:rPr>
          <w:rFonts w:asciiTheme="minorHAnsi" w:hAnsiTheme="minorHAnsi" w:cs="Arial"/>
        </w:rPr>
        <w:t xml:space="preserve"> </w:t>
      </w:r>
      <w:r w:rsidR="00203CE7" w:rsidRPr="00DA112E">
        <w:rPr>
          <w:rFonts w:asciiTheme="minorHAnsi" w:hAnsiTheme="minorHAnsi" w:cs="Arial"/>
        </w:rPr>
        <w:t>to enable us to manage</w:t>
      </w:r>
      <w:r w:rsidR="00D34583" w:rsidRPr="00DA112E">
        <w:rPr>
          <w:rFonts w:asciiTheme="minorHAnsi" w:hAnsiTheme="minorHAnsi" w:cs="Arial"/>
        </w:rPr>
        <w:t xml:space="preserve"> our staff policies and payroll.</w:t>
      </w:r>
    </w:p>
    <w:p w14:paraId="5E520A15" w14:textId="406CA688" w:rsidR="00203CE7" w:rsidRPr="00DA112E" w:rsidRDefault="003A0CCA" w:rsidP="00203CE7">
      <w:pPr>
        <w:numPr>
          <w:ilvl w:val="0"/>
          <w:numId w:val="2"/>
        </w:numPr>
        <w:ind w:left="777" w:hanging="357"/>
        <w:rPr>
          <w:rFonts w:asciiTheme="minorHAnsi" w:hAnsiTheme="minorHAnsi" w:cs="Arial"/>
        </w:rPr>
      </w:pPr>
      <w:r>
        <w:rPr>
          <w:rFonts w:asciiTheme="minorHAnsi" w:hAnsiTheme="minorHAnsi" w:cs="Arial"/>
        </w:rPr>
        <w:t>o</w:t>
      </w:r>
      <w:r w:rsidR="00203CE7" w:rsidRPr="00DA112E">
        <w:rPr>
          <w:rFonts w:asciiTheme="minorHAnsi" w:hAnsiTheme="minorHAnsi" w:cs="Arial"/>
        </w:rPr>
        <w:t>n our volunteers to enable us appropriately manage and support them</w:t>
      </w:r>
      <w:r w:rsidR="00D34583" w:rsidRPr="00DA112E">
        <w:rPr>
          <w:rFonts w:asciiTheme="minorHAnsi" w:hAnsiTheme="minorHAnsi" w:cs="Arial"/>
        </w:rPr>
        <w:t>.</w:t>
      </w:r>
    </w:p>
    <w:p w14:paraId="6AF85C1B" w14:textId="0C5F3533" w:rsidR="00203CE7" w:rsidRPr="00DA112E" w:rsidRDefault="003A0CCA" w:rsidP="00203CE7">
      <w:pPr>
        <w:numPr>
          <w:ilvl w:val="0"/>
          <w:numId w:val="2"/>
        </w:numPr>
        <w:ind w:left="777" w:hanging="357"/>
        <w:rPr>
          <w:rFonts w:asciiTheme="minorHAnsi" w:hAnsiTheme="minorHAnsi" w:cs="Arial"/>
        </w:rPr>
      </w:pPr>
      <w:r>
        <w:rPr>
          <w:rFonts w:asciiTheme="minorHAnsi" w:hAnsiTheme="minorHAnsi" w:cs="Arial"/>
        </w:rPr>
        <w:t>o</w:t>
      </w:r>
      <w:r w:rsidR="00203CE7" w:rsidRPr="00DA112E">
        <w:rPr>
          <w:rFonts w:asciiTheme="minorHAnsi" w:hAnsiTheme="minorHAnsi" w:cs="Arial"/>
        </w:rPr>
        <w:t>n our service users to enable us to deliver our service</w:t>
      </w:r>
      <w:r w:rsidR="00D34583" w:rsidRPr="00DA112E">
        <w:rPr>
          <w:rFonts w:asciiTheme="minorHAnsi" w:hAnsiTheme="minorHAnsi" w:cs="Arial"/>
        </w:rPr>
        <w:t>.</w:t>
      </w:r>
    </w:p>
    <w:p w14:paraId="43E34AD9" w14:textId="00DB9EA1" w:rsidR="00203CE7" w:rsidRPr="00DA112E" w:rsidRDefault="003A0CCA" w:rsidP="00203CE7">
      <w:pPr>
        <w:numPr>
          <w:ilvl w:val="0"/>
          <w:numId w:val="2"/>
        </w:numPr>
        <w:ind w:left="777" w:hanging="357"/>
        <w:rPr>
          <w:rFonts w:asciiTheme="minorHAnsi" w:hAnsiTheme="minorHAnsi" w:cs="Arial"/>
        </w:rPr>
      </w:pPr>
      <w:r>
        <w:rPr>
          <w:rFonts w:asciiTheme="minorHAnsi" w:hAnsiTheme="minorHAnsi" w:cs="Arial"/>
        </w:rPr>
        <w:t>o</w:t>
      </w:r>
      <w:r w:rsidR="00203CE7" w:rsidRPr="00DA112E">
        <w:rPr>
          <w:rFonts w:asciiTheme="minorHAnsi" w:hAnsiTheme="minorHAnsi" w:cs="Arial"/>
        </w:rPr>
        <w:t>n other contacts to help us run our business efficiently.</w:t>
      </w:r>
    </w:p>
    <w:p w14:paraId="61287ACD" w14:textId="04612A88" w:rsidR="00D34583" w:rsidRDefault="00D34583" w:rsidP="00D34583">
      <w:pPr>
        <w:rPr>
          <w:rFonts w:asciiTheme="minorHAnsi" w:hAnsiTheme="minorHAnsi" w:cs="Arial"/>
        </w:rPr>
      </w:pPr>
    </w:p>
    <w:p w14:paraId="1EA9650C" w14:textId="77777777" w:rsidR="003A0CCA" w:rsidRPr="00DA112E" w:rsidRDefault="003A0CCA" w:rsidP="00D34583">
      <w:pPr>
        <w:rPr>
          <w:rFonts w:asciiTheme="minorHAnsi" w:hAnsiTheme="minorHAnsi" w:cs="Arial"/>
        </w:rPr>
      </w:pPr>
    </w:p>
    <w:p w14:paraId="27442E23" w14:textId="77777777" w:rsidR="00203CE7" w:rsidRPr="00DA112E" w:rsidRDefault="00203CE7" w:rsidP="00FD561D">
      <w:pPr>
        <w:rPr>
          <w:rFonts w:asciiTheme="minorHAnsi" w:hAnsiTheme="minorHAnsi" w:cs="Arial"/>
          <w:b/>
        </w:rPr>
      </w:pPr>
      <w:r w:rsidRPr="00DA112E">
        <w:rPr>
          <w:rFonts w:asciiTheme="minorHAnsi" w:hAnsiTheme="minorHAnsi" w:cs="Arial"/>
          <w:b/>
        </w:rPr>
        <w:lastRenderedPageBreak/>
        <w:t>How we collect data</w:t>
      </w:r>
    </w:p>
    <w:p w14:paraId="0FEAA3EC" w14:textId="77777777" w:rsidR="00203CE7" w:rsidRPr="00DA112E" w:rsidRDefault="00203CE7" w:rsidP="00203CE7">
      <w:pPr>
        <w:ind w:left="360"/>
        <w:rPr>
          <w:rFonts w:asciiTheme="minorHAnsi" w:hAnsiTheme="minorHAnsi" w:cs="Arial"/>
          <w:b/>
        </w:rPr>
      </w:pPr>
    </w:p>
    <w:p w14:paraId="0B846999" w14:textId="639640D3" w:rsidR="00203CE7" w:rsidRDefault="00203CE7" w:rsidP="003A0CCA">
      <w:pPr>
        <w:rPr>
          <w:rFonts w:asciiTheme="minorHAnsi" w:hAnsiTheme="minorHAnsi" w:cs="Arial"/>
        </w:rPr>
      </w:pPr>
      <w:r w:rsidRPr="00DA112E">
        <w:rPr>
          <w:rFonts w:asciiTheme="minorHAnsi" w:hAnsiTheme="minorHAnsi" w:cs="Arial"/>
        </w:rPr>
        <w:t>We collect information from:</w:t>
      </w:r>
    </w:p>
    <w:p w14:paraId="1641D9CD" w14:textId="77777777" w:rsidR="003A0CCA" w:rsidRPr="00DA112E" w:rsidRDefault="003A0CCA" w:rsidP="003A0CCA">
      <w:pPr>
        <w:rPr>
          <w:rFonts w:asciiTheme="minorHAnsi" w:hAnsiTheme="minorHAnsi" w:cs="Arial"/>
        </w:rPr>
      </w:pPr>
    </w:p>
    <w:p w14:paraId="52354249" w14:textId="69E6DA44" w:rsidR="00203CE7" w:rsidRPr="00DA112E" w:rsidRDefault="003A0CCA" w:rsidP="00203CE7">
      <w:pPr>
        <w:numPr>
          <w:ilvl w:val="0"/>
          <w:numId w:val="4"/>
        </w:numPr>
        <w:rPr>
          <w:rFonts w:asciiTheme="minorHAnsi" w:hAnsiTheme="minorHAnsi" w:cs="Arial"/>
        </w:rPr>
      </w:pPr>
      <w:r>
        <w:rPr>
          <w:rFonts w:asciiTheme="minorHAnsi" w:hAnsiTheme="minorHAnsi" w:cs="Arial"/>
        </w:rPr>
        <w:t>r</w:t>
      </w:r>
      <w:r w:rsidR="00203CE7" w:rsidRPr="00DA112E">
        <w:rPr>
          <w:rFonts w:asciiTheme="minorHAnsi" w:hAnsiTheme="minorHAnsi" w:cs="Arial"/>
        </w:rPr>
        <w:t xml:space="preserve">eferring agencies and referral forms </w:t>
      </w:r>
    </w:p>
    <w:p w14:paraId="14436DBD" w14:textId="1C994ADB" w:rsidR="00203CE7" w:rsidRPr="00DA112E" w:rsidRDefault="003A0CCA" w:rsidP="00203CE7">
      <w:pPr>
        <w:numPr>
          <w:ilvl w:val="0"/>
          <w:numId w:val="4"/>
        </w:numPr>
        <w:rPr>
          <w:rFonts w:asciiTheme="minorHAnsi" w:hAnsiTheme="minorHAnsi" w:cs="Arial"/>
        </w:rPr>
      </w:pPr>
      <w:r>
        <w:rPr>
          <w:rFonts w:asciiTheme="minorHAnsi" w:hAnsiTheme="minorHAnsi" w:cs="Arial"/>
        </w:rPr>
        <w:t>p</w:t>
      </w:r>
      <w:r w:rsidR="00203CE7" w:rsidRPr="00DA112E">
        <w:rPr>
          <w:rFonts w:asciiTheme="minorHAnsi" w:hAnsiTheme="minorHAnsi" w:cs="Arial"/>
        </w:rPr>
        <w:t>eople who contact us</w:t>
      </w:r>
    </w:p>
    <w:p w14:paraId="4ABACBD0" w14:textId="143B3FF5" w:rsidR="00203CE7" w:rsidRPr="00DA112E" w:rsidRDefault="003A0CCA" w:rsidP="00203CE7">
      <w:pPr>
        <w:numPr>
          <w:ilvl w:val="0"/>
          <w:numId w:val="4"/>
        </w:numPr>
        <w:rPr>
          <w:rFonts w:asciiTheme="minorHAnsi" w:hAnsiTheme="minorHAnsi" w:cs="Arial"/>
        </w:rPr>
      </w:pPr>
      <w:r>
        <w:rPr>
          <w:rFonts w:asciiTheme="minorHAnsi" w:hAnsiTheme="minorHAnsi" w:cs="Arial"/>
        </w:rPr>
        <w:t>c</w:t>
      </w:r>
      <w:r w:rsidR="00203CE7" w:rsidRPr="00DA112E">
        <w:rPr>
          <w:rFonts w:asciiTheme="minorHAnsi" w:hAnsiTheme="minorHAnsi" w:cs="Arial"/>
        </w:rPr>
        <w:t>ontacts we make in the course of our activities.</w:t>
      </w:r>
    </w:p>
    <w:p w14:paraId="16EF6B7D" w14:textId="77777777" w:rsidR="00D34583" w:rsidRPr="00DA112E" w:rsidRDefault="00D34583" w:rsidP="00203CE7">
      <w:pPr>
        <w:rPr>
          <w:rFonts w:asciiTheme="minorHAnsi" w:hAnsiTheme="minorHAnsi" w:cs="Arial"/>
        </w:rPr>
      </w:pPr>
    </w:p>
    <w:p w14:paraId="2D944CBD" w14:textId="1020923A" w:rsidR="00203CE7" w:rsidRPr="00E436CC" w:rsidRDefault="00203CE7" w:rsidP="00203CE7">
      <w:pPr>
        <w:pStyle w:val="Default"/>
        <w:ind w:left="720" w:hanging="720"/>
        <w:rPr>
          <w:rFonts w:asciiTheme="minorHAnsi" w:hAnsiTheme="minorHAnsi"/>
          <w:b/>
          <w:color w:val="auto"/>
          <w:u w:val="single"/>
        </w:rPr>
      </w:pPr>
      <w:r w:rsidRPr="00E436CC">
        <w:rPr>
          <w:rFonts w:asciiTheme="minorHAnsi" w:hAnsiTheme="minorHAnsi"/>
          <w:b/>
          <w:bCs/>
          <w:color w:val="auto"/>
          <w:u w:val="single"/>
        </w:rPr>
        <w:t xml:space="preserve">The </w:t>
      </w:r>
      <w:r w:rsidR="007A758F" w:rsidRPr="00E436CC">
        <w:rPr>
          <w:rFonts w:asciiTheme="minorHAnsi" w:hAnsiTheme="minorHAnsi"/>
          <w:b/>
          <w:bCs/>
          <w:color w:val="auto"/>
          <w:u w:val="single"/>
        </w:rPr>
        <w:t>Data Controller (Managing Director)</w:t>
      </w:r>
    </w:p>
    <w:p w14:paraId="2058452E" w14:textId="77777777" w:rsidR="00203CE7" w:rsidRPr="00DA112E" w:rsidRDefault="00203CE7" w:rsidP="00203CE7">
      <w:pPr>
        <w:pStyle w:val="Default"/>
        <w:ind w:left="720" w:hanging="720"/>
        <w:rPr>
          <w:rFonts w:asciiTheme="minorHAnsi" w:hAnsiTheme="minorHAnsi"/>
          <w:b/>
          <w:color w:val="auto"/>
        </w:rPr>
      </w:pPr>
    </w:p>
    <w:p w14:paraId="3A3E47FF" w14:textId="181830AA" w:rsidR="009B47D5" w:rsidRPr="00DA112E" w:rsidRDefault="00203CE7" w:rsidP="003A0CCA">
      <w:pPr>
        <w:pStyle w:val="Default"/>
        <w:rPr>
          <w:rFonts w:asciiTheme="minorHAnsi" w:hAnsiTheme="minorHAnsi"/>
          <w:color w:val="auto"/>
        </w:rPr>
      </w:pPr>
      <w:r w:rsidRPr="00DA112E">
        <w:rPr>
          <w:rFonts w:asciiTheme="minorHAnsi" w:hAnsiTheme="minorHAnsi"/>
          <w:color w:val="auto"/>
        </w:rPr>
        <w:t xml:space="preserve">The designated </w:t>
      </w:r>
      <w:r w:rsidR="007A758F" w:rsidRPr="00DA112E">
        <w:rPr>
          <w:rFonts w:asciiTheme="minorHAnsi" w:hAnsiTheme="minorHAnsi"/>
          <w:color w:val="auto"/>
        </w:rPr>
        <w:t>Data Controller</w:t>
      </w:r>
      <w:r w:rsidRPr="00DA112E">
        <w:rPr>
          <w:rFonts w:asciiTheme="minorHAnsi" w:hAnsiTheme="minorHAnsi"/>
          <w:color w:val="auto"/>
        </w:rPr>
        <w:t xml:space="preserve"> will deal with the implementati</w:t>
      </w:r>
      <w:r w:rsidR="00DA112E" w:rsidRPr="00DA112E">
        <w:rPr>
          <w:rFonts w:asciiTheme="minorHAnsi" w:hAnsiTheme="minorHAnsi"/>
          <w:color w:val="auto"/>
        </w:rPr>
        <w:t>on of the agreed policy and day-to-</w:t>
      </w:r>
      <w:r w:rsidRPr="00DA112E">
        <w:rPr>
          <w:rFonts w:asciiTheme="minorHAnsi" w:hAnsiTheme="minorHAnsi"/>
          <w:color w:val="auto"/>
        </w:rPr>
        <w:t xml:space="preserve">day matters. TDC has a designated </w:t>
      </w:r>
      <w:r w:rsidR="007A758F" w:rsidRPr="00DA112E">
        <w:rPr>
          <w:rFonts w:asciiTheme="minorHAnsi" w:hAnsiTheme="minorHAnsi"/>
          <w:color w:val="auto"/>
        </w:rPr>
        <w:t>Data Controller</w:t>
      </w:r>
      <w:r w:rsidR="00E91A26" w:rsidRPr="00DA112E">
        <w:rPr>
          <w:rFonts w:asciiTheme="minorHAnsi" w:hAnsiTheme="minorHAnsi"/>
          <w:color w:val="auto"/>
        </w:rPr>
        <w:t>, the Managing Director</w:t>
      </w:r>
      <w:r w:rsidR="003A0CCA">
        <w:rPr>
          <w:rFonts w:asciiTheme="minorHAnsi" w:hAnsiTheme="minorHAnsi"/>
          <w:color w:val="auto"/>
        </w:rPr>
        <w:t>,</w:t>
      </w:r>
      <w:r w:rsidR="00E91A26" w:rsidRPr="00DA112E">
        <w:rPr>
          <w:rFonts w:asciiTheme="minorHAnsi" w:hAnsiTheme="minorHAnsi"/>
          <w:color w:val="auto"/>
        </w:rPr>
        <w:t xml:space="preserve"> Kate Nation</w:t>
      </w:r>
      <w:r w:rsidRPr="00DA112E">
        <w:rPr>
          <w:rFonts w:asciiTheme="minorHAnsi" w:hAnsiTheme="minorHAnsi"/>
          <w:color w:val="auto"/>
        </w:rPr>
        <w:t xml:space="preserve">. </w:t>
      </w:r>
    </w:p>
    <w:p w14:paraId="68FBF82A" w14:textId="77777777" w:rsidR="00D34583" w:rsidRPr="00DA112E" w:rsidRDefault="00D34583" w:rsidP="009B47D5">
      <w:pPr>
        <w:pStyle w:val="Default"/>
        <w:ind w:left="720" w:hanging="720"/>
        <w:rPr>
          <w:rFonts w:asciiTheme="minorHAnsi" w:hAnsiTheme="minorHAnsi"/>
          <w:color w:val="auto"/>
        </w:rPr>
      </w:pPr>
    </w:p>
    <w:p w14:paraId="43D74256" w14:textId="6F0457AC" w:rsidR="00203CE7" w:rsidRPr="00E436CC" w:rsidRDefault="00203CE7" w:rsidP="0085284C">
      <w:pPr>
        <w:rPr>
          <w:rFonts w:asciiTheme="minorHAnsi" w:hAnsiTheme="minorHAnsi" w:cs="Arial"/>
          <w:b/>
          <w:u w:val="single"/>
        </w:rPr>
      </w:pPr>
      <w:r w:rsidRPr="00E436CC">
        <w:rPr>
          <w:rFonts w:asciiTheme="minorHAnsi" w:hAnsiTheme="minorHAnsi" w:cs="Arial"/>
          <w:b/>
          <w:u w:val="single"/>
        </w:rPr>
        <w:t xml:space="preserve">Storing and </w:t>
      </w:r>
      <w:r w:rsidR="00D34583" w:rsidRPr="00E436CC">
        <w:rPr>
          <w:rFonts w:asciiTheme="minorHAnsi" w:hAnsiTheme="minorHAnsi" w:cs="Arial"/>
          <w:b/>
          <w:u w:val="single"/>
        </w:rPr>
        <w:t>processing</w:t>
      </w:r>
      <w:r w:rsidRPr="00E436CC">
        <w:rPr>
          <w:rFonts w:asciiTheme="minorHAnsi" w:hAnsiTheme="minorHAnsi" w:cs="Arial"/>
          <w:b/>
          <w:u w:val="single"/>
        </w:rPr>
        <w:t xml:space="preserve"> data</w:t>
      </w:r>
    </w:p>
    <w:p w14:paraId="677D7F6C" w14:textId="77777777" w:rsidR="00203CE7" w:rsidRPr="00DA112E" w:rsidRDefault="00203CE7" w:rsidP="00203CE7">
      <w:pPr>
        <w:rPr>
          <w:rFonts w:asciiTheme="minorHAnsi" w:hAnsiTheme="minorHAnsi" w:cs="Arial"/>
          <w:b/>
        </w:rPr>
      </w:pPr>
    </w:p>
    <w:p w14:paraId="16F1B2AB" w14:textId="10CBA675" w:rsidR="00965A87" w:rsidRPr="00DA112E" w:rsidRDefault="00203CE7" w:rsidP="00FD561D">
      <w:pPr>
        <w:rPr>
          <w:rFonts w:asciiTheme="minorHAnsi" w:hAnsiTheme="minorHAnsi" w:cs="Arial"/>
        </w:rPr>
      </w:pPr>
      <w:r w:rsidRPr="00DA112E">
        <w:rPr>
          <w:rFonts w:asciiTheme="minorHAnsi" w:hAnsiTheme="minorHAnsi" w:cs="Arial"/>
        </w:rPr>
        <w:t>Our policy is to store all data in a secure manner and to dispose of data no longer required in a secure way</w:t>
      </w:r>
      <w:r w:rsidR="002A3052" w:rsidRPr="00DA112E">
        <w:rPr>
          <w:rFonts w:asciiTheme="minorHAnsi" w:hAnsiTheme="minorHAnsi" w:cs="Arial"/>
        </w:rPr>
        <w:t>.</w:t>
      </w:r>
      <w:r w:rsidRPr="00DA112E">
        <w:rPr>
          <w:rFonts w:asciiTheme="minorHAnsi" w:hAnsiTheme="minorHAnsi" w:cs="Arial"/>
        </w:rPr>
        <w:t xml:space="preserve"> We will process data in a way which is consistent with the aims of our organisation and the purpose for which the data was given. </w:t>
      </w:r>
      <w:r w:rsidR="00965A87" w:rsidRPr="00DA112E">
        <w:rPr>
          <w:rFonts w:asciiTheme="minorHAnsi" w:hAnsiTheme="minorHAnsi" w:cs="Arial"/>
        </w:rPr>
        <w:t>TDC will keep an up-to-date data register. This provides details on personal data processed by the organisation, why it is being processed, the categories of individuals and categories of personal data along with the retention schedules of each type of data (further information can be found under point 5.1 and in Appendix A).</w:t>
      </w:r>
    </w:p>
    <w:p w14:paraId="2ABE5825" w14:textId="77777777" w:rsidR="00203CE7" w:rsidRPr="00DA112E" w:rsidRDefault="00203CE7" w:rsidP="00203CE7">
      <w:pPr>
        <w:rPr>
          <w:rFonts w:asciiTheme="minorHAnsi" w:hAnsiTheme="minorHAnsi" w:cs="Arial"/>
          <w:b/>
        </w:rPr>
      </w:pPr>
    </w:p>
    <w:p w14:paraId="5342038D" w14:textId="4A0B2D05" w:rsidR="00203CE7" w:rsidRPr="00DA112E" w:rsidRDefault="00203CE7" w:rsidP="00FD561D">
      <w:pPr>
        <w:rPr>
          <w:rFonts w:asciiTheme="minorHAnsi" w:hAnsiTheme="minorHAnsi" w:cs="Arial"/>
          <w:b/>
        </w:rPr>
      </w:pPr>
      <w:r w:rsidRPr="00DA112E">
        <w:rPr>
          <w:rFonts w:asciiTheme="minorHAnsi" w:hAnsiTheme="minorHAnsi" w:cs="Arial"/>
        </w:rPr>
        <w:t xml:space="preserve">Data in paper form will </w:t>
      </w:r>
      <w:r w:rsidR="00DA112E" w:rsidRPr="00DA112E">
        <w:rPr>
          <w:rFonts w:asciiTheme="minorHAnsi" w:hAnsiTheme="minorHAnsi" w:cs="Arial"/>
        </w:rPr>
        <w:t>be kept in filing cabinets that</w:t>
      </w:r>
      <w:r w:rsidRPr="00DA112E">
        <w:rPr>
          <w:rFonts w:asciiTheme="minorHAnsi" w:hAnsiTheme="minorHAnsi" w:cs="Arial"/>
        </w:rPr>
        <w:t xml:space="preserve"> will be kept locked </w:t>
      </w:r>
      <w:r w:rsidR="002A3052" w:rsidRPr="00DA112E">
        <w:rPr>
          <w:rFonts w:asciiTheme="minorHAnsi" w:hAnsiTheme="minorHAnsi" w:cs="Arial"/>
        </w:rPr>
        <w:t xml:space="preserve">overnight and when not in use. </w:t>
      </w:r>
      <w:r w:rsidRPr="00DA112E">
        <w:rPr>
          <w:rFonts w:asciiTheme="minorHAnsi" w:hAnsiTheme="minorHAnsi" w:cs="Arial"/>
        </w:rPr>
        <w:t>Data in paper format will be shredded before it is disposed of.</w:t>
      </w:r>
    </w:p>
    <w:p w14:paraId="69EB8747" w14:textId="77777777" w:rsidR="00FD561D" w:rsidRDefault="00FD561D" w:rsidP="00FD561D">
      <w:pPr>
        <w:rPr>
          <w:rFonts w:asciiTheme="minorHAnsi" w:hAnsiTheme="minorHAnsi" w:cs="Arial"/>
        </w:rPr>
      </w:pPr>
    </w:p>
    <w:p w14:paraId="5469D344" w14:textId="29CAF37B" w:rsidR="00203CE7" w:rsidRPr="00DA112E" w:rsidRDefault="00203CE7" w:rsidP="00FD561D">
      <w:pPr>
        <w:rPr>
          <w:rFonts w:asciiTheme="minorHAnsi" w:hAnsiTheme="minorHAnsi" w:cs="Arial"/>
        </w:rPr>
      </w:pPr>
      <w:r w:rsidRPr="00DA112E">
        <w:rPr>
          <w:rFonts w:asciiTheme="minorHAnsi" w:hAnsiTheme="minorHAnsi" w:cs="Arial"/>
        </w:rPr>
        <w:t>Electronic data will be password protected and stored on a server system with regular back up (which will be held off site)</w:t>
      </w:r>
      <w:r w:rsidR="002A3052" w:rsidRPr="00DA112E">
        <w:rPr>
          <w:rFonts w:asciiTheme="minorHAnsi" w:hAnsiTheme="minorHAnsi" w:cs="Arial"/>
        </w:rPr>
        <w:t xml:space="preserve">. </w:t>
      </w:r>
      <w:r w:rsidRPr="00DA112E">
        <w:rPr>
          <w:rFonts w:asciiTheme="minorHAnsi" w:hAnsiTheme="minorHAnsi" w:cs="Arial"/>
        </w:rPr>
        <w:t>Passwords will be reviewed and changed periodically and will always be changed if a member of staff or volunteer with password access leaves the organisation.</w:t>
      </w:r>
    </w:p>
    <w:p w14:paraId="3976AB1D" w14:textId="77777777" w:rsidR="00FD561D" w:rsidRDefault="00FD561D" w:rsidP="00FD561D">
      <w:pPr>
        <w:rPr>
          <w:rFonts w:asciiTheme="minorHAnsi" w:hAnsiTheme="minorHAnsi" w:cs="Arial"/>
        </w:rPr>
      </w:pPr>
    </w:p>
    <w:p w14:paraId="17A4C959" w14:textId="0BB1A795" w:rsidR="00203CE7" w:rsidRPr="00DA112E" w:rsidRDefault="00203CE7" w:rsidP="00FD561D">
      <w:pPr>
        <w:rPr>
          <w:rFonts w:asciiTheme="minorHAnsi" w:hAnsiTheme="minorHAnsi" w:cs="Arial"/>
        </w:rPr>
      </w:pPr>
      <w:r w:rsidRPr="00DA112E">
        <w:rPr>
          <w:rFonts w:asciiTheme="minorHAnsi" w:hAnsiTheme="minorHAnsi" w:cs="Arial"/>
        </w:rPr>
        <w:t xml:space="preserve">Data in either format will only be taken out of the office with the agreement of the </w:t>
      </w:r>
      <w:r w:rsidR="007A758F" w:rsidRPr="00DA112E">
        <w:rPr>
          <w:rFonts w:asciiTheme="minorHAnsi" w:hAnsiTheme="minorHAnsi" w:cs="Arial"/>
        </w:rPr>
        <w:t>Data Controller</w:t>
      </w:r>
      <w:r w:rsidRPr="00DA112E">
        <w:rPr>
          <w:rFonts w:asciiTheme="minorHAnsi" w:hAnsiTheme="minorHAnsi" w:cs="Arial"/>
        </w:rPr>
        <w:t>.</w:t>
      </w:r>
    </w:p>
    <w:p w14:paraId="43183D04" w14:textId="77777777" w:rsidR="00203CE7" w:rsidRPr="00DA112E" w:rsidRDefault="00203CE7" w:rsidP="00203CE7">
      <w:pPr>
        <w:rPr>
          <w:rFonts w:asciiTheme="minorHAnsi" w:hAnsiTheme="minorHAnsi" w:cs="Arial"/>
        </w:rPr>
      </w:pPr>
    </w:p>
    <w:p w14:paraId="39EA58B8" w14:textId="5E245B57" w:rsidR="00203CE7" w:rsidRPr="00E436CC" w:rsidRDefault="00203CE7" w:rsidP="00203CE7">
      <w:pPr>
        <w:rPr>
          <w:rFonts w:asciiTheme="minorHAnsi" w:hAnsiTheme="minorHAnsi" w:cs="Arial"/>
          <w:b/>
          <w:u w:val="single"/>
        </w:rPr>
      </w:pPr>
      <w:r w:rsidRPr="00E436CC">
        <w:rPr>
          <w:rFonts w:asciiTheme="minorHAnsi" w:hAnsiTheme="minorHAnsi" w:cs="Arial"/>
          <w:b/>
          <w:u w:val="single"/>
        </w:rPr>
        <w:t>Bring Your Own Device guidance</w:t>
      </w:r>
    </w:p>
    <w:p w14:paraId="5DB510C6" w14:textId="77777777" w:rsidR="003A0CCA" w:rsidRPr="00DA112E" w:rsidRDefault="003A0CCA" w:rsidP="00203CE7">
      <w:pPr>
        <w:rPr>
          <w:rFonts w:asciiTheme="minorHAnsi" w:hAnsiTheme="minorHAnsi" w:cs="Arial"/>
          <w:b/>
        </w:rPr>
      </w:pPr>
    </w:p>
    <w:p w14:paraId="50F2188C" w14:textId="77777777" w:rsidR="00203CE7" w:rsidRPr="00DA112E" w:rsidRDefault="00203CE7" w:rsidP="00FD561D">
      <w:pPr>
        <w:rPr>
          <w:rFonts w:asciiTheme="minorHAnsi" w:hAnsiTheme="minorHAnsi" w:cs="Arial"/>
        </w:rPr>
      </w:pPr>
      <w:r w:rsidRPr="00DA112E">
        <w:rPr>
          <w:rFonts w:asciiTheme="minorHAnsi" w:hAnsiTheme="minorHAnsi" w:cs="Arial"/>
        </w:rPr>
        <w:t xml:space="preserve">Typically this relates to smart phones, tablets and USB memory sticks.  </w:t>
      </w:r>
    </w:p>
    <w:p w14:paraId="7C46113E" w14:textId="77777777" w:rsidR="00203CE7" w:rsidRPr="00DA112E" w:rsidRDefault="00203CE7" w:rsidP="00203CE7">
      <w:pPr>
        <w:ind w:left="709"/>
        <w:rPr>
          <w:rFonts w:asciiTheme="minorHAnsi" w:hAnsiTheme="minorHAnsi" w:cs="Arial"/>
        </w:rPr>
      </w:pPr>
    </w:p>
    <w:p w14:paraId="5A519A70" w14:textId="67CC5B07" w:rsidR="00203CE7" w:rsidRPr="00DA112E" w:rsidRDefault="00203CE7" w:rsidP="00203CE7">
      <w:pPr>
        <w:numPr>
          <w:ilvl w:val="0"/>
          <w:numId w:val="5"/>
        </w:numPr>
        <w:rPr>
          <w:rFonts w:asciiTheme="minorHAnsi" w:hAnsiTheme="minorHAnsi" w:cs="Arial"/>
        </w:rPr>
      </w:pPr>
      <w:r w:rsidRPr="00DA112E">
        <w:rPr>
          <w:rFonts w:asciiTheme="minorHAnsi" w:hAnsiTheme="minorHAnsi" w:cs="Arial"/>
        </w:rPr>
        <w:t xml:space="preserve">Data stored by </w:t>
      </w:r>
      <w:r w:rsidR="008C52AF" w:rsidRPr="00DA112E">
        <w:rPr>
          <w:rFonts w:asciiTheme="minorHAnsi" w:hAnsiTheme="minorHAnsi" w:cs="Arial"/>
        </w:rPr>
        <w:t>TDC</w:t>
      </w:r>
      <w:r w:rsidRPr="00DA112E">
        <w:rPr>
          <w:rFonts w:asciiTheme="minorHAnsi" w:hAnsiTheme="minorHAnsi" w:cs="Arial"/>
        </w:rPr>
        <w:t xml:space="preserve"> should never be transferred to a personal device unless the device is protected by a password (encryption is required if the data relates to information that would identify an individual) and permission for the transfer has been given by </w:t>
      </w:r>
      <w:r w:rsidR="008C52AF" w:rsidRPr="00DA112E">
        <w:rPr>
          <w:rFonts w:asciiTheme="minorHAnsi" w:hAnsiTheme="minorHAnsi" w:cs="Arial"/>
        </w:rPr>
        <w:t>TDC</w:t>
      </w:r>
      <w:r w:rsidR="00237F97" w:rsidRPr="00DA112E">
        <w:rPr>
          <w:rFonts w:asciiTheme="minorHAnsi" w:hAnsiTheme="minorHAnsi" w:cs="Arial"/>
        </w:rPr>
        <w:t>’s</w:t>
      </w:r>
      <w:r w:rsidRPr="00DA112E">
        <w:rPr>
          <w:rFonts w:asciiTheme="minorHAnsi" w:hAnsiTheme="minorHAnsi" w:cs="Arial"/>
        </w:rPr>
        <w:t xml:space="preserve"> </w:t>
      </w:r>
      <w:r w:rsidR="007A758F" w:rsidRPr="00DA112E">
        <w:rPr>
          <w:rFonts w:asciiTheme="minorHAnsi" w:hAnsiTheme="minorHAnsi" w:cs="Arial"/>
        </w:rPr>
        <w:t>Data Controller</w:t>
      </w:r>
      <w:r w:rsidR="003A0CCA">
        <w:rPr>
          <w:rFonts w:asciiTheme="minorHAnsi" w:hAnsiTheme="minorHAnsi" w:cs="Arial"/>
        </w:rPr>
        <w:t xml:space="preserve"> and a</w:t>
      </w:r>
      <w:r w:rsidRPr="00DA112E">
        <w:rPr>
          <w:rFonts w:asciiTheme="minorHAnsi" w:hAnsiTheme="minorHAnsi" w:cs="Arial"/>
        </w:rPr>
        <w:t>gree</w:t>
      </w:r>
      <w:r w:rsidR="003A0CCA">
        <w:rPr>
          <w:rFonts w:asciiTheme="minorHAnsi" w:hAnsiTheme="minorHAnsi" w:cs="Arial"/>
        </w:rPr>
        <w:t>ment on</w:t>
      </w:r>
      <w:r w:rsidRPr="00DA112E">
        <w:rPr>
          <w:rFonts w:asciiTheme="minorHAnsi" w:hAnsiTheme="minorHAnsi" w:cs="Arial"/>
        </w:rPr>
        <w:t xml:space="preserve"> how long the data may remain on the device</w:t>
      </w:r>
      <w:r w:rsidR="003A0CCA">
        <w:rPr>
          <w:rFonts w:asciiTheme="minorHAnsi" w:hAnsiTheme="minorHAnsi" w:cs="Arial"/>
        </w:rPr>
        <w:t xml:space="preserve"> is formalised</w:t>
      </w:r>
      <w:r w:rsidRPr="00DA112E">
        <w:rPr>
          <w:rFonts w:asciiTheme="minorHAnsi" w:hAnsiTheme="minorHAnsi" w:cs="Arial"/>
        </w:rPr>
        <w:t>.</w:t>
      </w:r>
    </w:p>
    <w:p w14:paraId="4A6D9483" w14:textId="1A3BD04D" w:rsidR="00203CE7" w:rsidRDefault="00203CE7" w:rsidP="00203CE7">
      <w:pPr>
        <w:numPr>
          <w:ilvl w:val="0"/>
          <w:numId w:val="5"/>
        </w:numPr>
        <w:rPr>
          <w:rFonts w:asciiTheme="minorHAnsi" w:hAnsiTheme="minorHAnsi" w:cs="Arial"/>
        </w:rPr>
      </w:pPr>
      <w:r w:rsidRPr="00DA112E">
        <w:rPr>
          <w:rFonts w:asciiTheme="minorHAnsi" w:hAnsiTheme="minorHAnsi" w:cs="Arial"/>
        </w:rPr>
        <w:t xml:space="preserve">When transferring data from personal devices </w:t>
      </w:r>
      <w:r w:rsidR="002A3052" w:rsidRPr="00DA112E">
        <w:rPr>
          <w:rFonts w:asciiTheme="minorHAnsi" w:hAnsiTheme="minorHAnsi" w:cs="Arial"/>
        </w:rPr>
        <w:t>using a secure channel</w:t>
      </w:r>
      <w:r w:rsidR="003A0CCA">
        <w:rPr>
          <w:rFonts w:asciiTheme="minorHAnsi" w:hAnsiTheme="minorHAnsi" w:cs="Arial"/>
        </w:rPr>
        <w:t xml:space="preserve"> is </w:t>
      </w:r>
      <w:r w:rsidR="00CD4ACB">
        <w:rPr>
          <w:rFonts w:asciiTheme="minorHAnsi" w:hAnsiTheme="minorHAnsi" w:cs="Arial"/>
        </w:rPr>
        <w:t>critical</w:t>
      </w:r>
      <w:r w:rsidR="002A3052" w:rsidRPr="00DA112E">
        <w:rPr>
          <w:rFonts w:asciiTheme="minorHAnsi" w:hAnsiTheme="minorHAnsi" w:cs="Arial"/>
        </w:rPr>
        <w:t xml:space="preserve">. </w:t>
      </w:r>
      <w:r w:rsidR="00DA112E" w:rsidRPr="00DA112E">
        <w:rPr>
          <w:rFonts w:asciiTheme="minorHAnsi" w:hAnsiTheme="minorHAnsi" w:cs="Arial"/>
        </w:rPr>
        <w:t>Public Wi-F</w:t>
      </w:r>
      <w:r w:rsidRPr="00DA112E">
        <w:rPr>
          <w:rFonts w:asciiTheme="minorHAnsi" w:hAnsiTheme="minorHAnsi" w:cs="Arial"/>
        </w:rPr>
        <w:t>i networks may not be secure</w:t>
      </w:r>
      <w:r w:rsidR="00CD4ACB">
        <w:rPr>
          <w:rFonts w:asciiTheme="minorHAnsi" w:hAnsiTheme="minorHAnsi" w:cs="Arial"/>
        </w:rPr>
        <w:t xml:space="preserve"> and, therefore, should not be used for this purpose.  </w:t>
      </w:r>
    </w:p>
    <w:p w14:paraId="54D92AED" w14:textId="77777777" w:rsidR="00570777" w:rsidRDefault="00570777" w:rsidP="00570777">
      <w:pPr>
        <w:rPr>
          <w:rFonts w:asciiTheme="minorHAnsi" w:hAnsiTheme="minorHAnsi" w:cs="Arial"/>
        </w:rPr>
      </w:pPr>
    </w:p>
    <w:p w14:paraId="72DDC2CE" w14:textId="77777777" w:rsidR="00570777" w:rsidRDefault="00570777" w:rsidP="00570777">
      <w:pPr>
        <w:rPr>
          <w:rFonts w:asciiTheme="minorHAnsi" w:hAnsiTheme="minorHAnsi" w:cs="Arial"/>
        </w:rPr>
      </w:pPr>
    </w:p>
    <w:p w14:paraId="2061C98F" w14:textId="77777777" w:rsidR="00570777" w:rsidRDefault="00570777" w:rsidP="00570777">
      <w:pPr>
        <w:rPr>
          <w:rFonts w:asciiTheme="minorHAnsi" w:hAnsiTheme="minorHAnsi" w:cs="Arial"/>
        </w:rPr>
      </w:pPr>
    </w:p>
    <w:p w14:paraId="1ED0FB89" w14:textId="77777777" w:rsidR="00570777" w:rsidRDefault="00570777" w:rsidP="00570777">
      <w:pPr>
        <w:rPr>
          <w:rFonts w:asciiTheme="minorHAnsi" w:hAnsiTheme="minorHAnsi" w:cs="Arial"/>
        </w:rPr>
      </w:pPr>
    </w:p>
    <w:p w14:paraId="28D27C15" w14:textId="77777777" w:rsidR="00570777" w:rsidRPr="00DA112E" w:rsidRDefault="00570777" w:rsidP="00570777">
      <w:pPr>
        <w:rPr>
          <w:rFonts w:asciiTheme="minorHAnsi" w:hAnsiTheme="minorHAnsi" w:cs="Arial"/>
        </w:rPr>
      </w:pPr>
    </w:p>
    <w:p w14:paraId="56E26A97" w14:textId="77777777" w:rsidR="00570777" w:rsidRDefault="00203CE7" w:rsidP="00203CE7">
      <w:pPr>
        <w:numPr>
          <w:ilvl w:val="0"/>
          <w:numId w:val="5"/>
        </w:numPr>
        <w:rPr>
          <w:rFonts w:asciiTheme="minorHAnsi" w:hAnsiTheme="minorHAnsi" w:cs="Arial"/>
        </w:rPr>
      </w:pPr>
      <w:r w:rsidRPr="00DA112E">
        <w:rPr>
          <w:rFonts w:asciiTheme="minorHAnsi" w:hAnsiTheme="minorHAnsi" w:cs="Arial"/>
        </w:rPr>
        <w:t xml:space="preserve">If </w:t>
      </w:r>
      <w:r w:rsidR="00CD4ACB">
        <w:rPr>
          <w:rFonts w:asciiTheme="minorHAnsi" w:hAnsiTheme="minorHAnsi" w:cs="Arial"/>
        </w:rPr>
        <w:t xml:space="preserve">members of TDC </w:t>
      </w:r>
      <w:r w:rsidRPr="00DA112E">
        <w:rPr>
          <w:rFonts w:asciiTheme="minorHAnsi" w:hAnsiTheme="minorHAnsi" w:cs="Arial"/>
        </w:rPr>
        <w:t xml:space="preserve">store personal data on a mobile device steps </w:t>
      </w:r>
      <w:r w:rsidR="00CD4ACB">
        <w:rPr>
          <w:rFonts w:asciiTheme="minorHAnsi" w:hAnsiTheme="minorHAnsi" w:cs="Arial"/>
        </w:rPr>
        <w:t xml:space="preserve">to </w:t>
      </w:r>
      <w:r w:rsidRPr="00DA112E">
        <w:rPr>
          <w:rFonts w:asciiTheme="minorHAnsi" w:hAnsiTheme="minorHAnsi" w:cs="Arial"/>
        </w:rPr>
        <w:t>prevent the data being accessed if the device is lost or stolen</w:t>
      </w:r>
      <w:r w:rsidR="00CD4ACB">
        <w:rPr>
          <w:rFonts w:asciiTheme="minorHAnsi" w:hAnsiTheme="minorHAnsi" w:cs="Arial"/>
        </w:rPr>
        <w:t xml:space="preserve"> must be in place</w:t>
      </w:r>
      <w:r w:rsidRPr="00DA112E">
        <w:rPr>
          <w:rFonts w:asciiTheme="minorHAnsi" w:hAnsiTheme="minorHAnsi" w:cs="Arial"/>
        </w:rPr>
        <w:t xml:space="preserve">.  For </w:t>
      </w:r>
      <w:r w:rsidR="00CD4ACB" w:rsidRPr="00DA112E">
        <w:rPr>
          <w:rFonts w:asciiTheme="minorHAnsi" w:hAnsiTheme="minorHAnsi" w:cs="Arial"/>
        </w:rPr>
        <w:t>example,</w:t>
      </w:r>
      <w:r w:rsidRPr="00DA112E">
        <w:rPr>
          <w:rFonts w:asciiTheme="minorHAnsi" w:hAnsiTheme="minorHAnsi" w:cs="Arial"/>
        </w:rPr>
        <w:t xml:space="preserve"> in addition </w:t>
      </w:r>
    </w:p>
    <w:p w14:paraId="1B7C37E2" w14:textId="3CD89236" w:rsidR="00203CE7" w:rsidRPr="00570777" w:rsidRDefault="00203CE7" w:rsidP="00570777">
      <w:pPr>
        <w:ind w:left="360"/>
        <w:rPr>
          <w:rFonts w:asciiTheme="minorHAnsi" w:hAnsiTheme="minorHAnsi" w:cs="Arial"/>
        </w:rPr>
      </w:pPr>
      <w:r w:rsidRPr="00570777">
        <w:rPr>
          <w:rFonts w:asciiTheme="minorHAnsi" w:hAnsiTheme="minorHAnsi" w:cs="Arial"/>
        </w:rPr>
        <w:t>to encryption</w:t>
      </w:r>
      <w:r w:rsidR="00CD4ACB" w:rsidRPr="00570777">
        <w:rPr>
          <w:rFonts w:asciiTheme="minorHAnsi" w:hAnsiTheme="minorHAnsi" w:cs="Arial"/>
        </w:rPr>
        <w:t>,</w:t>
      </w:r>
      <w:r w:rsidRPr="00570777">
        <w:rPr>
          <w:rFonts w:asciiTheme="minorHAnsi" w:hAnsiTheme="minorHAnsi" w:cs="Arial"/>
        </w:rPr>
        <w:t xml:space="preserve"> </w:t>
      </w:r>
      <w:r w:rsidR="00CD4ACB" w:rsidRPr="00570777">
        <w:rPr>
          <w:rFonts w:asciiTheme="minorHAnsi" w:hAnsiTheme="minorHAnsi" w:cs="Arial"/>
        </w:rPr>
        <w:t xml:space="preserve">individuals </w:t>
      </w:r>
      <w:r w:rsidRPr="00570777">
        <w:rPr>
          <w:rFonts w:asciiTheme="minorHAnsi" w:hAnsiTheme="minorHAnsi" w:cs="Arial"/>
        </w:rPr>
        <w:t>might register the device with a remote locate and wipe facility.</w:t>
      </w:r>
    </w:p>
    <w:p w14:paraId="2D2CEF00" w14:textId="0AA16F3C" w:rsidR="00203CE7" w:rsidRPr="00DA112E" w:rsidRDefault="00203CE7" w:rsidP="00203CE7">
      <w:pPr>
        <w:numPr>
          <w:ilvl w:val="0"/>
          <w:numId w:val="5"/>
        </w:numPr>
        <w:rPr>
          <w:rFonts w:asciiTheme="minorHAnsi" w:hAnsiTheme="minorHAnsi" w:cs="Arial"/>
        </w:rPr>
      </w:pPr>
      <w:r w:rsidRPr="00DA112E">
        <w:rPr>
          <w:rFonts w:asciiTheme="minorHAnsi" w:hAnsiTheme="minorHAnsi" w:cs="Arial"/>
        </w:rPr>
        <w:t xml:space="preserve">When someone leaves </w:t>
      </w:r>
      <w:r w:rsidR="00CD4ACB">
        <w:rPr>
          <w:rFonts w:asciiTheme="minorHAnsi" w:hAnsiTheme="minorHAnsi" w:cs="Arial"/>
        </w:rPr>
        <w:t xml:space="preserve">the </w:t>
      </w:r>
      <w:r w:rsidRPr="00DA112E">
        <w:rPr>
          <w:rFonts w:asciiTheme="minorHAnsi" w:hAnsiTheme="minorHAnsi" w:cs="Arial"/>
        </w:rPr>
        <w:t xml:space="preserve">organisation </w:t>
      </w:r>
      <w:r w:rsidR="00CD4ACB">
        <w:rPr>
          <w:rFonts w:asciiTheme="minorHAnsi" w:hAnsiTheme="minorHAnsi" w:cs="Arial"/>
        </w:rPr>
        <w:t xml:space="preserve">TDC will </w:t>
      </w:r>
      <w:r w:rsidRPr="00DA112E">
        <w:rPr>
          <w:rFonts w:asciiTheme="minorHAnsi" w:hAnsiTheme="minorHAnsi" w:cs="Arial"/>
        </w:rPr>
        <w:t>ensure th</w:t>
      </w:r>
      <w:r w:rsidR="00CD4ACB">
        <w:rPr>
          <w:rFonts w:asciiTheme="minorHAnsi" w:hAnsiTheme="minorHAnsi" w:cs="Arial"/>
        </w:rPr>
        <w:t xml:space="preserve">e individual </w:t>
      </w:r>
      <w:r w:rsidRPr="00DA112E">
        <w:rPr>
          <w:rFonts w:asciiTheme="minorHAnsi" w:hAnsiTheme="minorHAnsi" w:cs="Arial"/>
        </w:rPr>
        <w:t>ha</w:t>
      </w:r>
      <w:r w:rsidR="00CD4ACB">
        <w:rPr>
          <w:rFonts w:asciiTheme="minorHAnsi" w:hAnsiTheme="minorHAnsi" w:cs="Arial"/>
        </w:rPr>
        <w:t>s</w:t>
      </w:r>
      <w:r w:rsidRPr="00DA112E">
        <w:rPr>
          <w:rFonts w:asciiTheme="minorHAnsi" w:hAnsiTheme="minorHAnsi" w:cs="Arial"/>
        </w:rPr>
        <w:t xml:space="preserve"> deleted all information related to </w:t>
      </w:r>
      <w:r w:rsidR="008C52AF" w:rsidRPr="00DA112E">
        <w:rPr>
          <w:rFonts w:asciiTheme="minorHAnsi" w:hAnsiTheme="minorHAnsi" w:cs="Arial"/>
        </w:rPr>
        <w:t>TD</w:t>
      </w:r>
      <w:r w:rsidR="00237F97" w:rsidRPr="00DA112E">
        <w:rPr>
          <w:rFonts w:asciiTheme="minorHAnsi" w:hAnsiTheme="minorHAnsi" w:cs="Arial"/>
        </w:rPr>
        <w:t>C</w:t>
      </w:r>
      <w:r w:rsidR="008C52AF" w:rsidRPr="00DA112E">
        <w:rPr>
          <w:rFonts w:asciiTheme="minorHAnsi" w:hAnsiTheme="minorHAnsi" w:cs="Arial"/>
        </w:rPr>
        <w:t>.</w:t>
      </w:r>
    </w:p>
    <w:p w14:paraId="08BFEFAD" w14:textId="77777777" w:rsidR="007A758F" w:rsidRPr="00DA112E" w:rsidRDefault="007A758F" w:rsidP="007A758F">
      <w:pPr>
        <w:ind w:left="1429"/>
        <w:rPr>
          <w:rFonts w:asciiTheme="minorHAnsi" w:hAnsiTheme="minorHAnsi" w:cs="Arial"/>
          <w:sz w:val="28"/>
        </w:rPr>
      </w:pPr>
    </w:p>
    <w:p w14:paraId="3A15D3DE" w14:textId="002B1CD1" w:rsidR="00203CE7" w:rsidRPr="00E436CC" w:rsidRDefault="00203CE7" w:rsidP="0085284C">
      <w:pPr>
        <w:rPr>
          <w:rFonts w:asciiTheme="minorHAnsi" w:hAnsiTheme="minorHAnsi" w:cs="Arial"/>
          <w:b/>
          <w:u w:val="single"/>
        </w:rPr>
      </w:pPr>
      <w:r w:rsidRPr="00E436CC">
        <w:rPr>
          <w:rFonts w:asciiTheme="minorHAnsi" w:hAnsiTheme="minorHAnsi" w:cs="Arial"/>
          <w:b/>
          <w:u w:val="single"/>
        </w:rPr>
        <w:t xml:space="preserve">Retention of data </w:t>
      </w:r>
    </w:p>
    <w:p w14:paraId="2B66DD67" w14:textId="77777777" w:rsidR="00203CE7" w:rsidRPr="00DA112E" w:rsidRDefault="00203CE7" w:rsidP="00203CE7">
      <w:pPr>
        <w:pStyle w:val="Default"/>
        <w:rPr>
          <w:rFonts w:asciiTheme="minorHAnsi" w:hAnsiTheme="minorHAnsi"/>
          <w:b/>
          <w:bCs/>
          <w:color w:val="auto"/>
        </w:rPr>
      </w:pPr>
    </w:p>
    <w:p w14:paraId="07763CF1" w14:textId="540F9ABB" w:rsidR="00203CE7" w:rsidRPr="00DA112E" w:rsidRDefault="008C52AF" w:rsidP="00FD561D">
      <w:pPr>
        <w:pStyle w:val="Default"/>
        <w:rPr>
          <w:rFonts w:asciiTheme="minorHAnsi" w:hAnsiTheme="minorHAnsi"/>
          <w:color w:val="auto"/>
        </w:rPr>
      </w:pPr>
      <w:r w:rsidRPr="00DA112E">
        <w:rPr>
          <w:rFonts w:asciiTheme="minorHAnsi" w:hAnsiTheme="minorHAnsi"/>
          <w:color w:val="auto"/>
        </w:rPr>
        <w:t xml:space="preserve">TDC </w:t>
      </w:r>
      <w:r w:rsidR="00203CE7" w:rsidRPr="00DA112E">
        <w:rPr>
          <w:rFonts w:asciiTheme="minorHAnsi" w:hAnsiTheme="minorHAnsi"/>
          <w:color w:val="auto"/>
        </w:rPr>
        <w:t xml:space="preserve">will keep some forms of information longer than others. </w:t>
      </w:r>
      <w:r w:rsidRPr="00DA112E">
        <w:rPr>
          <w:rFonts w:asciiTheme="minorHAnsi" w:hAnsiTheme="minorHAnsi"/>
          <w:color w:val="auto"/>
        </w:rPr>
        <w:t xml:space="preserve">TDC </w:t>
      </w:r>
      <w:r w:rsidR="00203CE7" w:rsidRPr="00DA112E">
        <w:rPr>
          <w:rFonts w:asciiTheme="minorHAnsi" w:hAnsiTheme="minorHAnsi"/>
          <w:color w:val="auto"/>
        </w:rPr>
        <w:t xml:space="preserve">will need to keep central personnel records for 6 years after employment ceases. This will include information necessary in respect of pensions, taxation, potential or current disputes or litigation regarding the employment, and information required for job references. Retention of all other documents and paperwork are detailed on Appendix A. </w:t>
      </w:r>
    </w:p>
    <w:p w14:paraId="79FB4F88" w14:textId="77777777" w:rsidR="00D34583" w:rsidRPr="00DA112E" w:rsidRDefault="00D34583" w:rsidP="00203CE7">
      <w:pPr>
        <w:pStyle w:val="Default"/>
        <w:ind w:left="720" w:hanging="720"/>
        <w:rPr>
          <w:rFonts w:asciiTheme="minorHAnsi" w:hAnsiTheme="minorHAnsi"/>
          <w:color w:val="auto"/>
        </w:rPr>
      </w:pPr>
    </w:p>
    <w:p w14:paraId="39270C4B" w14:textId="46AEBE4F" w:rsidR="00D34583" w:rsidRPr="00DA112E" w:rsidRDefault="00965A87" w:rsidP="00FD561D">
      <w:pPr>
        <w:pStyle w:val="Default"/>
        <w:rPr>
          <w:rFonts w:asciiTheme="minorHAnsi" w:hAnsiTheme="minorHAnsi"/>
          <w:color w:val="auto"/>
        </w:rPr>
      </w:pPr>
      <w:r w:rsidRPr="00DA112E">
        <w:rPr>
          <w:rFonts w:asciiTheme="minorHAnsi" w:hAnsiTheme="minorHAnsi"/>
          <w:color w:val="auto"/>
        </w:rPr>
        <w:t>Under GDPR, the right to be forgotten enables an individual to request the deletion or removal of personal data where there is no compelling reason for its continued processing. T</w:t>
      </w:r>
      <w:r w:rsidR="00CD4ACB">
        <w:rPr>
          <w:rFonts w:asciiTheme="minorHAnsi" w:hAnsiTheme="minorHAnsi"/>
          <w:color w:val="auto"/>
        </w:rPr>
        <w:t>DC</w:t>
      </w:r>
      <w:r w:rsidRPr="00DA112E">
        <w:rPr>
          <w:rFonts w:asciiTheme="minorHAnsi" w:hAnsiTheme="minorHAnsi"/>
          <w:color w:val="auto"/>
        </w:rPr>
        <w:t xml:space="preserve"> will give all requests for data deletion or removal thorough consideration and will only retain data following this i</w:t>
      </w:r>
      <w:r w:rsidR="00CD4ACB">
        <w:rPr>
          <w:rFonts w:asciiTheme="minorHAnsi" w:hAnsiTheme="minorHAnsi"/>
          <w:color w:val="auto"/>
        </w:rPr>
        <w:t>f</w:t>
      </w:r>
      <w:r w:rsidRPr="00DA112E">
        <w:rPr>
          <w:rFonts w:asciiTheme="minorHAnsi" w:hAnsiTheme="minorHAnsi"/>
          <w:color w:val="auto"/>
        </w:rPr>
        <w:t xml:space="preserve"> there is a compelling reason which will </w:t>
      </w:r>
      <w:r w:rsidR="00CD4ACB">
        <w:rPr>
          <w:rFonts w:asciiTheme="minorHAnsi" w:hAnsiTheme="minorHAnsi"/>
          <w:color w:val="auto"/>
        </w:rPr>
        <w:t xml:space="preserve">be </w:t>
      </w:r>
      <w:r w:rsidRPr="00DA112E">
        <w:rPr>
          <w:rFonts w:asciiTheme="minorHAnsi" w:hAnsiTheme="minorHAnsi"/>
          <w:color w:val="auto"/>
        </w:rPr>
        <w:t>communicate</w:t>
      </w:r>
      <w:r w:rsidR="00CD4ACB">
        <w:rPr>
          <w:rFonts w:asciiTheme="minorHAnsi" w:hAnsiTheme="minorHAnsi"/>
          <w:color w:val="auto"/>
        </w:rPr>
        <w:t>d</w:t>
      </w:r>
      <w:r w:rsidRPr="00DA112E">
        <w:rPr>
          <w:rFonts w:asciiTheme="minorHAnsi" w:hAnsiTheme="minorHAnsi"/>
          <w:color w:val="auto"/>
        </w:rPr>
        <w:t xml:space="preserve"> to the individual concerned.</w:t>
      </w:r>
    </w:p>
    <w:p w14:paraId="38B2EB97" w14:textId="77777777" w:rsidR="00203CE7" w:rsidRPr="00DA112E" w:rsidRDefault="00203CE7" w:rsidP="00203CE7">
      <w:pPr>
        <w:ind w:firstLine="720"/>
        <w:rPr>
          <w:rFonts w:asciiTheme="minorHAnsi" w:hAnsiTheme="minorHAnsi" w:cs="Arial"/>
        </w:rPr>
      </w:pPr>
    </w:p>
    <w:p w14:paraId="1E151EA6" w14:textId="22D4F72B" w:rsidR="00203CE7" w:rsidRPr="00E436CC" w:rsidRDefault="00203CE7" w:rsidP="00203CE7">
      <w:pPr>
        <w:rPr>
          <w:rFonts w:asciiTheme="minorHAnsi" w:hAnsiTheme="minorHAnsi" w:cs="Arial"/>
          <w:b/>
          <w:u w:val="single"/>
        </w:rPr>
      </w:pPr>
      <w:r w:rsidRPr="00E436CC">
        <w:rPr>
          <w:rFonts w:asciiTheme="minorHAnsi" w:hAnsiTheme="minorHAnsi" w:cs="Arial"/>
          <w:b/>
          <w:u w:val="single"/>
        </w:rPr>
        <w:t>Processing sensitive information</w:t>
      </w:r>
    </w:p>
    <w:p w14:paraId="7A035FB2" w14:textId="77777777" w:rsidR="00203CE7" w:rsidRPr="00DA112E" w:rsidRDefault="00203CE7" w:rsidP="00203CE7">
      <w:pPr>
        <w:rPr>
          <w:rFonts w:asciiTheme="minorHAnsi" w:hAnsiTheme="minorHAnsi" w:cs="Arial"/>
          <w:b/>
        </w:rPr>
      </w:pPr>
    </w:p>
    <w:p w14:paraId="27C30C67" w14:textId="1DBF5F90" w:rsidR="00203CE7" w:rsidRPr="00DA112E" w:rsidRDefault="00203CE7" w:rsidP="00FD561D">
      <w:pPr>
        <w:pStyle w:val="Default"/>
        <w:rPr>
          <w:rFonts w:asciiTheme="minorHAnsi" w:hAnsiTheme="minorHAnsi"/>
          <w:color w:val="auto"/>
        </w:rPr>
      </w:pPr>
      <w:r w:rsidRPr="00DA112E">
        <w:rPr>
          <w:rFonts w:asciiTheme="minorHAnsi" w:hAnsiTheme="minorHAnsi"/>
          <w:color w:val="auto"/>
        </w:rPr>
        <w:t xml:space="preserve">Sometimes it is necessary to process sensitive information about a person such as </w:t>
      </w:r>
      <w:r w:rsidR="002A3052" w:rsidRPr="00DA112E">
        <w:rPr>
          <w:rFonts w:asciiTheme="minorHAnsi" w:hAnsiTheme="minorHAnsi"/>
          <w:color w:val="auto"/>
        </w:rPr>
        <w:t xml:space="preserve">race, gender or family details. </w:t>
      </w:r>
      <w:r w:rsidRPr="00DA112E">
        <w:rPr>
          <w:rFonts w:asciiTheme="minorHAnsi" w:hAnsiTheme="minorHAnsi"/>
          <w:color w:val="auto"/>
        </w:rPr>
        <w:t xml:space="preserve">This is done to ensure that </w:t>
      </w:r>
      <w:r w:rsidR="002A3052" w:rsidRPr="00DA112E">
        <w:rPr>
          <w:rFonts w:asciiTheme="minorHAnsi" w:hAnsiTheme="minorHAnsi"/>
          <w:color w:val="auto"/>
        </w:rPr>
        <w:t xml:space="preserve">TDC </w:t>
      </w:r>
      <w:r w:rsidRPr="00DA112E">
        <w:rPr>
          <w:rFonts w:asciiTheme="minorHAnsi" w:hAnsiTheme="minorHAnsi"/>
          <w:color w:val="auto"/>
        </w:rPr>
        <w:t xml:space="preserve">can operate policies on matters such as equal opportunities. </w:t>
      </w:r>
      <w:r w:rsidR="002A3052" w:rsidRPr="00DA112E">
        <w:rPr>
          <w:rFonts w:asciiTheme="minorHAnsi" w:hAnsiTheme="minorHAnsi"/>
          <w:color w:val="auto"/>
        </w:rPr>
        <w:t xml:space="preserve">TDC </w:t>
      </w:r>
      <w:r w:rsidRPr="00DA112E">
        <w:rPr>
          <w:rFonts w:asciiTheme="minorHAnsi" w:hAnsiTheme="minorHAnsi"/>
          <w:color w:val="auto"/>
        </w:rPr>
        <w:t xml:space="preserve">may also ask for information about particular health needs or disabilities. </w:t>
      </w:r>
      <w:r w:rsidR="002A3052" w:rsidRPr="00DA112E">
        <w:rPr>
          <w:rFonts w:asciiTheme="minorHAnsi" w:hAnsiTheme="minorHAnsi"/>
          <w:color w:val="auto"/>
        </w:rPr>
        <w:t>TDC w</w:t>
      </w:r>
      <w:r w:rsidRPr="00DA112E">
        <w:rPr>
          <w:rFonts w:asciiTheme="minorHAnsi" w:hAnsiTheme="minorHAnsi"/>
          <w:color w:val="auto"/>
        </w:rPr>
        <w:t xml:space="preserve">ill only use such information in the protection of the health and safety of the individual, but will need consent to process - for example, in the event of a medical emergency. </w:t>
      </w:r>
    </w:p>
    <w:p w14:paraId="5C77D011" w14:textId="77777777" w:rsidR="00203CE7" w:rsidRPr="00DA112E" w:rsidRDefault="00203CE7" w:rsidP="00203CE7">
      <w:pPr>
        <w:pStyle w:val="Default"/>
        <w:ind w:left="720" w:hanging="720"/>
        <w:rPr>
          <w:rFonts w:asciiTheme="minorHAnsi" w:hAnsiTheme="minorHAnsi"/>
          <w:color w:val="auto"/>
        </w:rPr>
      </w:pPr>
    </w:p>
    <w:p w14:paraId="03311FF4" w14:textId="5D77E86B" w:rsidR="00203CE7" w:rsidRPr="00DA112E" w:rsidRDefault="00CD4ACB" w:rsidP="00FD561D">
      <w:pPr>
        <w:rPr>
          <w:rFonts w:asciiTheme="minorHAnsi" w:hAnsiTheme="minorHAnsi" w:cs="Arial"/>
          <w:b/>
        </w:rPr>
      </w:pPr>
      <w:r>
        <w:rPr>
          <w:rFonts w:asciiTheme="minorHAnsi" w:hAnsiTheme="minorHAnsi" w:cs="Arial"/>
        </w:rPr>
        <w:t>When</w:t>
      </w:r>
      <w:r w:rsidR="00203CE7" w:rsidRPr="00DA112E">
        <w:rPr>
          <w:rFonts w:asciiTheme="minorHAnsi" w:hAnsiTheme="minorHAnsi" w:cs="Arial"/>
        </w:rPr>
        <w:t xml:space="preserve"> information is considered sensitive, and it is recognised that the processing of it may cause particular concern or distress to individuals, employees and others affected </w:t>
      </w:r>
      <w:r>
        <w:rPr>
          <w:rFonts w:asciiTheme="minorHAnsi" w:hAnsiTheme="minorHAnsi" w:cs="Arial"/>
        </w:rPr>
        <w:t xml:space="preserve">individuals </w:t>
      </w:r>
      <w:r w:rsidR="00203CE7" w:rsidRPr="00DA112E">
        <w:rPr>
          <w:rFonts w:asciiTheme="minorHAnsi" w:hAnsiTheme="minorHAnsi" w:cs="Arial"/>
        </w:rPr>
        <w:t xml:space="preserve">will be asked to give express consent for </w:t>
      </w:r>
      <w:r w:rsidR="002A3052" w:rsidRPr="00DA112E">
        <w:rPr>
          <w:rFonts w:asciiTheme="minorHAnsi" w:hAnsiTheme="minorHAnsi" w:cs="Arial"/>
        </w:rPr>
        <w:t xml:space="preserve">TDC </w:t>
      </w:r>
      <w:r w:rsidR="00203CE7" w:rsidRPr="00DA112E">
        <w:rPr>
          <w:rFonts w:asciiTheme="minorHAnsi" w:hAnsiTheme="minorHAnsi" w:cs="Arial"/>
        </w:rPr>
        <w:t xml:space="preserve">to </w:t>
      </w:r>
      <w:r>
        <w:rPr>
          <w:rFonts w:asciiTheme="minorHAnsi" w:hAnsiTheme="minorHAnsi" w:cs="Arial"/>
        </w:rPr>
        <w:t xml:space="preserve">process this data.  </w:t>
      </w:r>
    </w:p>
    <w:p w14:paraId="266581F9" w14:textId="77777777" w:rsidR="00203CE7" w:rsidRPr="00DA112E" w:rsidRDefault="00203CE7" w:rsidP="00203CE7">
      <w:pPr>
        <w:rPr>
          <w:rFonts w:asciiTheme="minorHAnsi" w:hAnsiTheme="minorHAnsi" w:cs="Arial"/>
          <w:b/>
        </w:rPr>
      </w:pPr>
    </w:p>
    <w:p w14:paraId="30151E00" w14:textId="6594C948" w:rsidR="00203CE7" w:rsidRPr="00E436CC" w:rsidRDefault="00203CE7" w:rsidP="00203CE7">
      <w:pPr>
        <w:rPr>
          <w:rFonts w:asciiTheme="minorHAnsi" w:hAnsiTheme="minorHAnsi" w:cs="Arial"/>
          <w:b/>
          <w:u w:val="single"/>
        </w:rPr>
      </w:pPr>
      <w:r w:rsidRPr="00E436CC">
        <w:rPr>
          <w:rFonts w:asciiTheme="minorHAnsi" w:hAnsiTheme="minorHAnsi" w:cs="Arial"/>
          <w:b/>
          <w:u w:val="single"/>
        </w:rPr>
        <w:t>Disclosure</w:t>
      </w:r>
    </w:p>
    <w:p w14:paraId="54F77887" w14:textId="77777777" w:rsidR="00203CE7" w:rsidRPr="00DA112E" w:rsidRDefault="00203CE7" w:rsidP="00203CE7">
      <w:pPr>
        <w:rPr>
          <w:rFonts w:asciiTheme="minorHAnsi" w:hAnsiTheme="minorHAnsi" w:cs="Arial"/>
          <w:b/>
        </w:rPr>
      </w:pPr>
    </w:p>
    <w:p w14:paraId="75833166" w14:textId="6CF510A3" w:rsidR="00203CE7" w:rsidRPr="00DA112E" w:rsidRDefault="00203CE7" w:rsidP="00FD561D">
      <w:pPr>
        <w:rPr>
          <w:rFonts w:asciiTheme="minorHAnsi" w:hAnsiTheme="minorHAnsi" w:cs="Arial"/>
          <w:b/>
        </w:rPr>
      </w:pPr>
      <w:r w:rsidRPr="00DA112E">
        <w:rPr>
          <w:rFonts w:asciiTheme="minorHAnsi" w:hAnsiTheme="minorHAnsi" w:cs="Arial"/>
        </w:rPr>
        <w:t xml:space="preserve">It is </w:t>
      </w:r>
      <w:r w:rsidR="00CD4ACB">
        <w:rPr>
          <w:rFonts w:asciiTheme="minorHAnsi" w:hAnsiTheme="minorHAnsi" w:cs="Arial"/>
        </w:rPr>
        <w:t xml:space="preserve">TDC’s </w:t>
      </w:r>
      <w:r w:rsidRPr="00DA112E">
        <w:rPr>
          <w:rFonts w:asciiTheme="minorHAnsi" w:hAnsiTheme="minorHAnsi" w:cs="Arial"/>
        </w:rPr>
        <w:t xml:space="preserve">policy not to disclose any information to third parties unless </w:t>
      </w:r>
      <w:r w:rsidR="00CD4ACB">
        <w:rPr>
          <w:rFonts w:asciiTheme="minorHAnsi" w:hAnsiTheme="minorHAnsi" w:cs="Arial"/>
        </w:rPr>
        <w:t>TDC has sought</w:t>
      </w:r>
      <w:r w:rsidRPr="00DA112E">
        <w:rPr>
          <w:rFonts w:asciiTheme="minorHAnsi" w:hAnsiTheme="minorHAnsi" w:cs="Arial"/>
        </w:rPr>
        <w:t xml:space="preserve"> the subject’s permission to do so OR the information is being passed solely for the third party to undertake work on </w:t>
      </w:r>
      <w:r w:rsidR="00CD4ACB">
        <w:rPr>
          <w:rFonts w:asciiTheme="minorHAnsi" w:hAnsiTheme="minorHAnsi" w:cs="Arial"/>
        </w:rPr>
        <w:t>TDC’s</w:t>
      </w:r>
      <w:r w:rsidRPr="00DA112E">
        <w:rPr>
          <w:rFonts w:asciiTheme="minorHAnsi" w:hAnsiTheme="minorHAnsi" w:cs="Arial"/>
        </w:rPr>
        <w:t xml:space="preserve"> behalf and for no other purpose OR the information is already in the public domain OR</w:t>
      </w:r>
      <w:r w:rsidR="00CD4ACB">
        <w:rPr>
          <w:rFonts w:asciiTheme="minorHAnsi" w:hAnsiTheme="minorHAnsi" w:cs="Arial"/>
        </w:rPr>
        <w:t xml:space="preserve"> TDC</w:t>
      </w:r>
      <w:r w:rsidRPr="00DA112E">
        <w:rPr>
          <w:rFonts w:asciiTheme="minorHAnsi" w:hAnsiTheme="minorHAnsi" w:cs="Arial"/>
        </w:rPr>
        <w:t xml:space="preserve"> are legally obliged to do so.</w:t>
      </w:r>
    </w:p>
    <w:p w14:paraId="304A86B3" w14:textId="77777777" w:rsidR="00203CE7" w:rsidRPr="00DA112E" w:rsidRDefault="00203CE7" w:rsidP="00203CE7">
      <w:pPr>
        <w:rPr>
          <w:rFonts w:asciiTheme="minorHAnsi" w:hAnsiTheme="minorHAnsi" w:cs="Arial"/>
        </w:rPr>
      </w:pPr>
    </w:p>
    <w:p w14:paraId="3029885F" w14:textId="2C707EF3" w:rsidR="00203CE7" w:rsidRPr="00DA112E" w:rsidRDefault="00203CE7" w:rsidP="00FD561D">
      <w:pPr>
        <w:rPr>
          <w:rFonts w:asciiTheme="minorHAnsi" w:hAnsiTheme="minorHAnsi" w:cs="Arial"/>
          <w:b/>
        </w:rPr>
      </w:pPr>
      <w:r w:rsidRPr="00DA112E">
        <w:rPr>
          <w:rFonts w:asciiTheme="minorHAnsi" w:hAnsiTheme="minorHAnsi" w:cs="Arial"/>
        </w:rPr>
        <w:t>Information w</w:t>
      </w:r>
      <w:r w:rsidR="002A3052" w:rsidRPr="00DA112E">
        <w:rPr>
          <w:rFonts w:asciiTheme="minorHAnsi" w:hAnsiTheme="minorHAnsi" w:cs="Arial"/>
        </w:rPr>
        <w:t xml:space="preserve">ill not normally be disclosed. </w:t>
      </w:r>
      <w:r w:rsidRPr="00DA112E">
        <w:rPr>
          <w:rFonts w:asciiTheme="minorHAnsi" w:hAnsiTheme="minorHAnsi" w:cs="Arial"/>
        </w:rPr>
        <w:t xml:space="preserve">Where information is being passed to a </w:t>
      </w:r>
      <w:r w:rsidR="00CD4ACB" w:rsidRPr="00DA112E">
        <w:rPr>
          <w:rFonts w:asciiTheme="minorHAnsi" w:hAnsiTheme="minorHAnsi" w:cs="Arial"/>
        </w:rPr>
        <w:t>third-party</w:t>
      </w:r>
      <w:r w:rsidRPr="00DA112E">
        <w:rPr>
          <w:rFonts w:asciiTheme="minorHAnsi" w:hAnsiTheme="minorHAnsi" w:cs="Arial"/>
        </w:rPr>
        <w:t xml:space="preserve"> undertaking work on behalf of the organisation </w:t>
      </w:r>
      <w:r w:rsidR="00CD4ACB">
        <w:rPr>
          <w:rFonts w:asciiTheme="minorHAnsi" w:hAnsiTheme="minorHAnsi" w:cs="Arial"/>
        </w:rPr>
        <w:t>TDC</w:t>
      </w:r>
      <w:r w:rsidRPr="00DA112E">
        <w:rPr>
          <w:rFonts w:asciiTheme="minorHAnsi" w:hAnsiTheme="minorHAnsi" w:cs="Arial"/>
        </w:rPr>
        <w:t xml:space="preserve"> will ensure that the third party has appropriate data protection policies and procedures in place.</w:t>
      </w:r>
    </w:p>
    <w:p w14:paraId="7DF659A5" w14:textId="304996C7" w:rsidR="00203CE7" w:rsidRDefault="00203CE7" w:rsidP="00203CE7">
      <w:pPr>
        <w:rPr>
          <w:rFonts w:asciiTheme="minorHAnsi" w:hAnsiTheme="minorHAnsi" w:cs="Arial"/>
        </w:rPr>
      </w:pPr>
    </w:p>
    <w:p w14:paraId="666E130C" w14:textId="77777777" w:rsidR="00FD561D" w:rsidRDefault="00FD561D" w:rsidP="00FD561D">
      <w:pPr>
        <w:rPr>
          <w:rFonts w:asciiTheme="minorHAnsi" w:hAnsiTheme="minorHAnsi" w:cs="Arial"/>
        </w:rPr>
      </w:pPr>
    </w:p>
    <w:p w14:paraId="79AF8CFF" w14:textId="77777777" w:rsidR="00FD561D" w:rsidRDefault="00FD561D" w:rsidP="00FD561D">
      <w:pPr>
        <w:rPr>
          <w:rFonts w:asciiTheme="minorHAnsi" w:hAnsiTheme="minorHAnsi" w:cs="Arial"/>
          <w:b/>
        </w:rPr>
      </w:pPr>
    </w:p>
    <w:p w14:paraId="30EB2932" w14:textId="77777777" w:rsidR="00FD561D" w:rsidRDefault="00FD561D" w:rsidP="00FD561D">
      <w:pPr>
        <w:rPr>
          <w:rFonts w:asciiTheme="minorHAnsi" w:hAnsiTheme="minorHAnsi" w:cs="Arial"/>
          <w:b/>
        </w:rPr>
      </w:pPr>
    </w:p>
    <w:p w14:paraId="40CDD7BD" w14:textId="5EC1190E" w:rsidR="00FD561D" w:rsidRPr="00E436CC" w:rsidRDefault="00FD561D" w:rsidP="00FD561D">
      <w:pPr>
        <w:rPr>
          <w:rFonts w:asciiTheme="minorHAnsi" w:hAnsiTheme="minorHAnsi" w:cs="Arial"/>
          <w:b/>
          <w:u w:val="single"/>
        </w:rPr>
      </w:pPr>
      <w:r w:rsidRPr="00E436CC">
        <w:rPr>
          <w:rFonts w:asciiTheme="minorHAnsi" w:hAnsiTheme="minorHAnsi" w:cs="Arial"/>
          <w:b/>
          <w:u w:val="single"/>
        </w:rPr>
        <w:t xml:space="preserve">Confidentiality </w:t>
      </w:r>
    </w:p>
    <w:p w14:paraId="71004482" w14:textId="32512923" w:rsidR="00FD561D" w:rsidRDefault="00FD561D" w:rsidP="00CD4ACB">
      <w:pPr>
        <w:rPr>
          <w:rFonts w:asciiTheme="minorHAnsi" w:hAnsiTheme="minorHAnsi" w:cs="Arial"/>
          <w:b/>
        </w:rPr>
      </w:pPr>
    </w:p>
    <w:p w14:paraId="4D481F75" w14:textId="0E74B4A5" w:rsidR="00FD561D" w:rsidRDefault="00FD561D" w:rsidP="00FD561D">
      <w:pPr>
        <w:autoSpaceDE w:val="0"/>
        <w:autoSpaceDN w:val="0"/>
        <w:adjustRightInd w:val="0"/>
        <w:rPr>
          <w:rFonts w:ascii="Calibri" w:hAnsi="Calibri" w:cs="Arial"/>
        </w:rPr>
      </w:pPr>
      <w:r w:rsidRPr="007D4816">
        <w:rPr>
          <w:rFonts w:ascii="Calibri" w:hAnsi="Calibri" w:cs="Arial"/>
        </w:rPr>
        <w:t xml:space="preserve">TDC recognises that colleagues (employees, volunteers and Directors) gain information about individuals and organisations during the course of their work or activities. In most cases such information will not be stated as confidential and colleagues may have to exercise common sense and discretion in identifying whether information is expected to be confidential. </w:t>
      </w:r>
    </w:p>
    <w:p w14:paraId="5557103B" w14:textId="77777777" w:rsidR="00FD561D" w:rsidRPr="007D4816" w:rsidRDefault="00FD561D" w:rsidP="00FD561D">
      <w:pPr>
        <w:autoSpaceDE w:val="0"/>
        <w:autoSpaceDN w:val="0"/>
        <w:adjustRightInd w:val="0"/>
        <w:rPr>
          <w:rFonts w:ascii="Calibri" w:hAnsi="Calibri" w:cs="Arial"/>
          <w:b/>
          <w:bCs/>
          <w:lang w:val="en-US"/>
        </w:rPr>
      </w:pPr>
    </w:p>
    <w:p w14:paraId="64EE0F21" w14:textId="77777777" w:rsidR="00FD561D" w:rsidRDefault="00FD561D" w:rsidP="00FD561D">
      <w:pPr>
        <w:autoSpaceDE w:val="0"/>
        <w:autoSpaceDN w:val="0"/>
        <w:adjustRightInd w:val="0"/>
        <w:rPr>
          <w:rFonts w:ascii="Calibri" w:hAnsi="Calibri" w:cs="Arial"/>
          <w:lang w:val="en-US"/>
        </w:rPr>
      </w:pPr>
      <w:r w:rsidRPr="007D4816">
        <w:rPr>
          <w:rFonts w:ascii="Calibri" w:hAnsi="Calibri" w:cs="Arial"/>
          <w:lang w:val="en-US"/>
        </w:rPr>
        <w:t xml:space="preserve">Information belongs to the person or agency entrusting it to a member of staff or volunteer of TDC. Information remains personal and in the control of the giver. Once received by TDC, it may not be used for any purpose other than that for which it was given; nor may it be passed on to any person or agency outside TDC without the express permission of the giver. </w:t>
      </w:r>
    </w:p>
    <w:p w14:paraId="4B149F63" w14:textId="77777777" w:rsidR="00FD561D" w:rsidRDefault="00FD561D" w:rsidP="00FD561D">
      <w:pPr>
        <w:autoSpaceDE w:val="0"/>
        <w:autoSpaceDN w:val="0"/>
        <w:adjustRightInd w:val="0"/>
        <w:rPr>
          <w:rFonts w:ascii="Calibri" w:hAnsi="Calibri" w:cs="Arial"/>
          <w:lang w:val="en-US"/>
        </w:rPr>
      </w:pPr>
    </w:p>
    <w:p w14:paraId="448D8FDF" w14:textId="77777777" w:rsidR="00FD561D" w:rsidRDefault="00FD561D" w:rsidP="00FD561D">
      <w:pPr>
        <w:autoSpaceDE w:val="0"/>
        <w:autoSpaceDN w:val="0"/>
        <w:adjustRightInd w:val="0"/>
        <w:rPr>
          <w:rFonts w:ascii="Calibri" w:hAnsi="Calibri" w:cs="Arial"/>
          <w:lang w:val="en-US"/>
        </w:rPr>
      </w:pPr>
      <w:r>
        <w:rPr>
          <w:rFonts w:ascii="Calibri" w:hAnsi="Calibri" w:cs="Arial"/>
          <w:lang w:val="en-US"/>
        </w:rPr>
        <w:t>In practice this means that TDC will follow the guidance below:</w:t>
      </w:r>
    </w:p>
    <w:p w14:paraId="2AC4419B" w14:textId="77777777" w:rsidR="00FD561D" w:rsidRDefault="00FD561D" w:rsidP="00FD561D">
      <w:pPr>
        <w:autoSpaceDE w:val="0"/>
        <w:autoSpaceDN w:val="0"/>
        <w:adjustRightInd w:val="0"/>
        <w:rPr>
          <w:rFonts w:ascii="Calibri" w:hAnsi="Calibri" w:cs="Arial"/>
          <w:lang w:val="en-US"/>
        </w:rPr>
      </w:pPr>
    </w:p>
    <w:p w14:paraId="4615A529" w14:textId="77777777" w:rsidR="00FD561D" w:rsidRPr="007D4816" w:rsidRDefault="00FD561D" w:rsidP="00FD561D">
      <w:pPr>
        <w:numPr>
          <w:ilvl w:val="0"/>
          <w:numId w:val="11"/>
        </w:numPr>
        <w:autoSpaceDE w:val="0"/>
        <w:autoSpaceDN w:val="0"/>
        <w:adjustRightInd w:val="0"/>
        <w:rPr>
          <w:rFonts w:ascii="Calibri" w:hAnsi="Calibri" w:cs="Arial"/>
          <w:lang w:val="en-US"/>
        </w:rPr>
      </w:pPr>
      <w:r w:rsidRPr="007D4816">
        <w:rPr>
          <w:rFonts w:ascii="Calibri" w:hAnsi="Calibri" w:cs="Arial"/>
          <w:lang w:val="en-US"/>
        </w:rPr>
        <w:t>Staff members, Directors and volunteers have the right to see any information that TDC keeps on them in paper or computer files and to change that information where it is inaccurate</w:t>
      </w:r>
      <w:r>
        <w:rPr>
          <w:rFonts w:ascii="Calibri" w:hAnsi="Calibri" w:cs="Arial"/>
          <w:lang w:val="en-US"/>
        </w:rPr>
        <w:t>.</w:t>
      </w:r>
    </w:p>
    <w:p w14:paraId="476DE52B" w14:textId="77777777" w:rsidR="00FD561D" w:rsidRPr="007D4816" w:rsidRDefault="00FD561D" w:rsidP="00FD561D">
      <w:pPr>
        <w:numPr>
          <w:ilvl w:val="0"/>
          <w:numId w:val="11"/>
        </w:numPr>
        <w:autoSpaceDE w:val="0"/>
        <w:autoSpaceDN w:val="0"/>
        <w:adjustRightInd w:val="0"/>
        <w:rPr>
          <w:rFonts w:ascii="Calibri" w:hAnsi="Calibri" w:cs="Arial"/>
          <w:lang w:val="en-US"/>
        </w:rPr>
      </w:pPr>
      <w:r w:rsidRPr="007D4816">
        <w:rPr>
          <w:rFonts w:ascii="Calibri" w:hAnsi="Calibri" w:cs="Arial"/>
        </w:rPr>
        <w:t>P</w:t>
      </w:r>
      <w:r>
        <w:rPr>
          <w:rFonts w:ascii="Calibri" w:hAnsi="Calibri" w:cs="Arial"/>
        </w:rPr>
        <w:t xml:space="preserve">eople </w:t>
      </w:r>
      <w:r w:rsidRPr="007D4816">
        <w:rPr>
          <w:rFonts w:ascii="Calibri" w:hAnsi="Calibri" w:cs="Arial"/>
        </w:rPr>
        <w:t>issues will remain confidential to the people involved</w:t>
      </w:r>
      <w:r>
        <w:rPr>
          <w:rFonts w:ascii="Calibri" w:hAnsi="Calibri" w:cs="Arial"/>
        </w:rPr>
        <w:t>.</w:t>
      </w:r>
    </w:p>
    <w:p w14:paraId="5DFD8334" w14:textId="77777777" w:rsidR="00FD561D" w:rsidRPr="007D4816" w:rsidRDefault="00FD561D" w:rsidP="00FD561D">
      <w:pPr>
        <w:numPr>
          <w:ilvl w:val="0"/>
          <w:numId w:val="11"/>
        </w:numPr>
        <w:autoSpaceDE w:val="0"/>
        <w:autoSpaceDN w:val="0"/>
        <w:adjustRightInd w:val="0"/>
        <w:rPr>
          <w:rFonts w:ascii="Calibri" w:hAnsi="Calibri" w:cs="Arial"/>
          <w:lang w:val="en-US"/>
        </w:rPr>
      </w:pPr>
      <w:r w:rsidRPr="007D4816">
        <w:rPr>
          <w:rFonts w:ascii="Calibri" w:hAnsi="Calibri" w:cs="Arial"/>
          <w:lang w:val="en-US"/>
        </w:rPr>
        <w:t>TDC will maintain an appropriate level of security, in accordance with the Data Protection Act</w:t>
      </w:r>
      <w:r>
        <w:rPr>
          <w:rFonts w:ascii="Calibri" w:hAnsi="Calibri" w:cs="Arial"/>
          <w:lang w:val="en-US"/>
        </w:rPr>
        <w:t xml:space="preserve"> and the </w:t>
      </w:r>
      <w:r>
        <w:rPr>
          <w:rFonts w:ascii="Calibri" w:hAnsi="Calibri" w:cs="Arial"/>
        </w:rPr>
        <w:t>Data Protection Regulations from 25</w:t>
      </w:r>
      <w:r w:rsidRPr="00265B27">
        <w:rPr>
          <w:rFonts w:ascii="Calibri" w:hAnsi="Calibri" w:cs="Arial"/>
          <w:vertAlign w:val="superscript"/>
        </w:rPr>
        <w:t>th</w:t>
      </w:r>
      <w:r>
        <w:rPr>
          <w:rFonts w:ascii="Calibri" w:hAnsi="Calibri" w:cs="Arial"/>
        </w:rPr>
        <w:t xml:space="preserve"> May 2018</w:t>
      </w:r>
      <w:r w:rsidRPr="007D4816">
        <w:rPr>
          <w:rFonts w:ascii="Calibri" w:hAnsi="Calibri" w:cs="Arial"/>
          <w:lang w:val="en-US"/>
        </w:rPr>
        <w:t xml:space="preserve"> and this policy, which will adequately protect information about individuals that is held in their systems. Paper files will be kept in a locked area and computer-based files will be password protected</w:t>
      </w:r>
      <w:r>
        <w:rPr>
          <w:rFonts w:ascii="Calibri" w:hAnsi="Calibri" w:cs="Arial"/>
          <w:lang w:val="en-US"/>
        </w:rPr>
        <w:t>.</w:t>
      </w:r>
    </w:p>
    <w:p w14:paraId="619F40E6" w14:textId="77777777" w:rsidR="00FD561D" w:rsidRPr="007D4816" w:rsidRDefault="00FD561D" w:rsidP="00FD561D">
      <w:pPr>
        <w:numPr>
          <w:ilvl w:val="0"/>
          <w:numId w:val="11"/>
        </w:numPr>
        <w:autoSpaceDE w:val="0"/>
        <w:autoSpaceDN w:val="0"/>
        <w:adjustRightInd w:val="0"/>
        <w:rPr>
          <w:rFonts w:ascii="Calibri" w:hAnsi="Calibri" w:cs="Arial"/>
          <w:lang w:val="en-US"/>
        </w:rPr>
      </w:pPr>
      <w:r w:rsidRPr="007D4816">
        <w:rPr>
          <w:rFonts w:ascii="Calibri" w:hAnsi="Calibri" w:cs="Arial"/>
          <w:lang w:val="en-US"/>
        </w:rPr>
        <w:t xml:space="preserve">The use of </w:t>
      </w:r>
      <w:r w:rsidRPr="007D4816">
        <w:rPr>
          <w:rFonts w:ascii="Calibri" w:hAnsi="Calibri" w:cs="Arial"/>
        </w:rPr>
        <w:t xml:space="preserve">statistical data or </w:t>
      </w:r>
      <w:r w:rsidRPr="007D4816">
        <w:rPr>
          <w:rFonts w:ascii="Calibri" w:hAnsi="Calibri" w:cs="Arial"/>
          <w:lang w:val="en-US"/>
        </w:rPr>
        <w:t>information for reports, monitoring and funding applications will scrupulously avoid any specific detail about service users that might lead to their identification unless they have given their permission for it to be used. The data provided by TDC should not include information that could easily lead to the identification of service users</w:t>
      </w:r>
      <w:r>
        <w:rPr>
          <w:rFonts w:ascii="Calibri" w:hAnsi="Calibri" w:cs="Arial"/>
          <w:lang w:val="en-US"/>
        </w:rPr>
        <w:t>.</w:t>
      </w:r>
    </w:p>
    <w:p w14:paraId="35899DAF" w14:textId="77777777" w:rsidR="00FD561D" w:rsidRPr="007D4816" w:rsidRDefault="00FD561D" w:rsidP="00FD561D">
      <w:pPr>
        <w:numPr>
          <w:ilvl w:val="0"/>
          <w:numId w:val="11"/>
        </w:numPr>
        <w:autoSpaceDE w:val="0"/>
        <w:autoSpaceDN w:val="0"/>
        <w:adjustRightInd w:val="0"/>
        <w:rPr>
          <w:rFonts w:ascii="Calibri" w:hAnsi="Calibri" w:cs="Arial"/>
          <w:lang w:val="en-US"/>
        </w:rPr>
      </w:pPr>
      <w:r w:rsidRPr="007D4816">
        <w:rPr>
          <w:rFonts w:ascii="Calibri" w:hAnsi="Calibri" w:cs="Arial"/>
          <w:lang w:val="en-US"/>
        </w:rPr>
        <w:t xml:space="preserve">The purpose of information gathered from </w:t>
      </w:r>
      <w:r w:rsidRPr="007D4816">
        <w:rPr>
          <w:rFonts w:ascii="Calibri" w:hAnsi="Calibri" w:cs="Arial"/>
        </w:rPr>
        <w:t>organisations</w:t>
      </w:r>
      <w:r w:rsidRPr="007D4816">
        <w:rPr>
          <w:rFonts w:ascii="Calibri" w:hAnsi="Calibri" w:cs="Arial"/>
          <w:lang w:val="en-US"/>
        </w:rPr>
        <w:t xml:space="preserve"> which is intended to be made public in a Directory, either printed on paper or electronically, must be made clear to those </w:t>
      </w:r>
      <w:r w:rsidRPr="007D4816">
        <w:rPr>
          <w:rFonts w:ascii="Calibri" w:hAnsi="Calibri" w:cs="Arial"/>
        </w:rPr>
        <w:t>organisations</w:t>
      </w:r>
      <w:r w:rsidRPr="007D4816">
        <w:rPr>
          <w:rFonts w:ascii="Calibri" w:hAnsi="Calibri" w:cs="Arial"/>
          <w:lang w:val="en-US"/>
        </w:rPr>
        <w:t>. They must check the accuracy of the information and consent to its distribution obtained before publication</w:t>
      </w:r>
      <w:r>
        <w:rPr>
          <w:rFonts w:ascii="Calibri" w:hAnsi="Calibri" w:cs="Arial"/>
          <w:lang w:val="en-US"/>
        </w:rPr>
        <w:t>.</w:t>
      </w:r>
    </w:p>
    <w:p w14:paraId="7B730C27" w14:textId="77777777" w:rsidR="00FD561D" w:rsidRPr="007D4816" w:rsidRDefault="00FD561D" w:rsidP="00FD561D">
      <w:pPr>
        <w:numPr>
          <w:ilvl w:val="0"/>
          <w:numId w:val="11"/>
        </w:numPr>
        <w:autoSpaceDE w:val="0"/>
        <w:autoSpaceDN w:val="0"/>
        <w:rPr>
          <w:rFonts w:ascii="Calibri" w:hAnsi="Calibri" w:cs="Arial"/>
        </w:rPr>
      </w:pPr>
      <w:r w:rsidRPr="007D4816">
        <w:rPr>
          <w:rFonts w:ascii="Calibri" w:hAnsi="Calibri" w:cs="Arial"/>
        </w:rPr>
        <w:t>Colleagues are able to share information with their line manager in order to discuss issues and seek advice</w:t>
      </w:r>
      <w:r>
        <w:rPr>
          <w:rFonts w:ascii="Calibri" w:hAnsi="Calibri" w:cs="Arial"/>
        </w:rPr>
        <w:t>.</w:t>
      </w:r>
    </w:p>
    <w:p w14:paraId="07A61C3F" w14:textId="77777777" w:rsidR="00FD561D" w:rsidRPr="007D4816" w:rsidRDefault="00FD561D" w:rsidP="00FD561D">
      <w:pPr>
        <w:numPr>
          <w:ilvl w:val="0"/>
          <w:numId w:val="11"/>
        </w:numPr>
        <w:autoSpaceDE w:val="0"/>
        <w:autoSpaceDN w:val="0"/>
        <w:rPr>
          <w:rFonts w:ascii="Calibri" w:hAnsi="Calibri" w:cs="Arial"/>
        </w:rPr>
      </w:pPr>
      <w:r w:rsidRPr="007D4816">
        <w:rPr>
          <w:rFonts w:ascii="Calibri" w:hAnsi="Calibri" w:cs="Arial"/>
        </w:rPr>
        <w:t>Colleagues will avoid exchanging personal information about individuals with whom they have a professional relationship</w:t>
      </w:r>
      <w:r>
        <w:rPr>
          <w:rFonts w:ascii="Calibri" w:hAnsi="Calibri" w:cs="Arial"/>
        </w:rPr>
        <w:t>.</w:t>
      </w:r>
    </w:p>
    <w:p w14:paraId="0A965BE8" w14:textId="77777777" w:rsidR="00FD561D" w:rsidRPr="007D4816" w:rsidRDefault="00FD561D" w:rsidP="00FD561D">
      <w:pPr>
        <w:numPr>
          <w:ilvl w:val="0"/>
          <w:numId w:val="11"/>
        </w:numPr>
        <w:autoSpaceDE w:val="0"/>
        <w:autoSpaceDN w:val="0"/>
        <w:rPr>
          <w:rFonts w:ascii="Calibri" w:hAnsi="Calibri" w:cs="Arial"/>
        </w:rPr>
      </w:pPr>
      <w:r w:rsidRPr="007D4816">
        <w:rPr>
          <w:rFonts w:ascii="Calibri" w:hAnsi="Calibri" w:cs="Arial"/>
        </w:rPr>
        <w:t>Colleagues will not disclose to anyone, other than their line manager, any information considered sensitive, personal, financial or private without the knowledge or consent of the individual</w:t>
      </w:r>
      <w:r>
        <w:rPr>
          <w:rFonts w:ascii="Calibri" w:hAnsi="Calibri" w:cs="Arial"/>
        </w:rPr>
        <w:t>.</w:t>
      </w:r>
    </w:p>
    <w:p w14:paraId="6EA3EB92" w14:textId="6D102915" w:rsidR="00FD561D" w:rsidRDefault="00FD561D" w:rsidP="00FD561D">
      <w:pPr>
        <w:numPr>
          <w:ilvl w:val="0"/>
          <w:numId w:val="11"/>
        </w:numPr>
        <w:autoSpaceDE w:val="0"/>
        <w:autoSpaceDN w:val="0"/>
        <w:rPr>
          <w:rFonts w:ascii="Calibri" w:hAnsi="Calibri" w:cs="Arial"/>
        </w:rPr>
      </w:pPr>
      <w:r w:rsidRPr="007D4816">
        <w:rPr>
          <w:rFonts w:ascii="Calibri" w:hAnsi="Calibri" w:cs="Arial"/>
        </w:rPr>
        <w:t>Where there is a legal duty on TDC to disclose information, the individual will be informed that disclosure has or will be made</w:t>
      </w:r>
      <w:r>
        <w:rPr>
          <w:rFonts w:ascii="Calibri" w:hAnsi="Calibri" w:cs="Arial"/>
        </w:rPr>
        <w:t>.</w:t>
      </w:r>
    </w:p>
    <w:p w14:paraId="2004EC30" w14:textId="4B56BC05" w:rsidR="00E436CC" w:rsidRDefault="00E436CC" w:rsidP="00E436CC">
      <w:pPr>
        <w:autoSpaceDE w:val="0"/>
        <w:autoSpaceDN w:val="0"/>
        <w:rPr>
          <w:rFonts w:ascii="Calibri" w:hAnsi="Calibri" w:cs="Arial"/>
        </w:rPr>
      </w:pPr>
    </w:p>
    <w:p w14:paraId="5977E894" w14:textId="5B875525" w:rsidR="00E436CC" w:rsidRPr="00E436CC" w:rsidRDefault="00E436CC" w:rsidP="00E436CC">
      <w:pPr>
        <w:autoSpaceDE w:val="0"/>
        <w:autoSpaceDN w:val="0"/>
        <w:rPr>
          <w:rFonts w:ascii="Calibri" w:hAnsi="Calibri" w:cs="Arial"/>
          <w:b/>
        </w:rPr>
      </w:pPr>
      <w:r w:rsidRPr="00E436CC">
        <w:rPr>
          <w:rFonts w:ascii="Calibri" w:hAnsi="Calibri" w:cs="Arial"/>
          <w:b/>
        </w:rPr>
        <w:t xml:space="preserve">Breaking confidentiality </w:t>
      </w:r>
    </w:p>
    <w:p w14:paraId="71DA5736" w14:textId="77777777" w:rsidR="00E436CC" w:rsidRDefault="00E436CC" w:rsidP="00E436CC">
      <w:pPr>
        <w:autoSpaceDE w:val="0"/>
        <w:autoSpaceDN w:val="0"/>
        <w:rPr>
          <w:rFonts w:ascii="Calibri" w:hAnsi="Calibri" w:cs="Arial"/>
        </w:rPr>
      </w:pPr>
    </w:p>
    <w:p w14:paraId="42F1964C" w14:textId="77777777" w:rsidR="00570777" w:rsidRDefault="00E436CC" w:rsidP="00E436CC">
      <w:pPr>
        <w:autoSpaceDE w:val="0"/>
        <w:autoSpaceDN w:val="0"/>
        <w:adjustRightInd w:val="0"/>
        <w:rPr>
          <w:rFonts w:ascii="Calibri" w:hAnsi="Calibri" w:cs="Arial"/>
          <w:lang w:val="en-US"/>
        </w:rPr>
      </w:pPr>
      <w:r w:rsidRPr="007D4816">
        <w:rPr>
          <w:rFonts w:ascii="Calibri" w:hAnsi="Calibri" w:cs="Arial"/>
        </w:rPr>
        <w:t xml:space="preserve">In exceptional circumstances, </w:t>
      </w:r>
      <w:r w:rsidRPr="007D4816">
        <w:rPr>
          <w:rFonts w:ascii="Calibri" w:hAnsi="Calibri" w:cs="Arial"/>
          <w:lang w:val="en-US"/>
        </w:rPr>
        <w:t xml:space="preserve">it may be necessary to break the basic rules of confidentiality. </w:t>
      </w:r>
      <w:r w:rsidRPr="007D4816">
        <w:rPr>
          <w:rFonts w:ascii="Calibri" w:hAnsi="Calibri" w:cs="Arial"/>
        </w:rPr>
        <w:t xml:space="preserve">This would be the case in </w:t>
      </w:r>
      <w:r w:rsidRPr="007D4816">
        <w:rPr>
          <w:rFonts w:ascii="Calibri" w:hAnsi="Calibri" w:cs="Arial"/>
          <w:lang w:val="en-US"/>
        </w:rPr>
        <w:t xml:space="preserve">situations where the safety, rights and liberties of other people or </w:t>
      </w:r>
    </w:p>
    <w:p w14:paraId="60D4630B" w14:textId="77777777" w:rsidR="00570777" w:rsidRDefault="00570777" w:rsidP="00E436CC">
      <w:pPr>
        <w:autoSpaceDE w:val="0"/>
        <w:autoSpaceDN w:val="0"/>
        <w:adjustRightInd w:val="0"/>
        <w:rPr>
          <w:rFonts w:ascii="Calibri" w:hAnsi="Calibri" w:cs="Arial"/>
          <w:lang w:val="en-US"/>
        </w:rPr>
      </w:pPr>
    </w:p>
    <w:p w14:paraId="49D2C281" w14:textId="77777777" w:rsidR="00570777" w:rsidRDefault="00570777" w:rsidP="00E436CC">
      <w:pPr>
        <w:autoSpaceDE w:val="0"/>
        <w:autoSpaceDN w:val="0"/>
        <w:adjustRightInd w:val="0"/>
        <w:rPr>
          <w:rFonts w:ascii="Calibri" w:hAnsi="Calibri" w:cs="Arial"/>
          <w:lang w:val="en-US"/>
        </w:rPr>
      </w:pPr>
    </w:p>
    <w:p w14:paraId="0C2F9E3F" w14:textId="77777777" w:rsidR="00570777" w:rsidRDefault="00570777" w:rsidP="00E436CC">
      <w:pPr>
        <w:autoSpaceDE w:val="0"/>
        <w:autoSpaceDN w:val="0"/>
        <w:adjustRightInd w:val="0"/>
        <w:rPr>
          <w:rFonts w:ascii="Calibri" w:hAnsi="Calibri" w:cs="Arial"/>
          <w:lang w:val="en-US"/>
        </w:rPr>
      </w:pPr>
    </w:p>
    <w:p w14:paraId="704E7263" w14:textId="357CB4C4" w:rsidR="00E436CC" w:rsidRPr="007D4816" w:rsidRDefault="00E436CC" w:rsidP="00E436CC">
      <w:pPr>
        <w:autoSpaceDE w:val="0"/>
        <w:autoSpaceDN w:val="0"/>
        <w:adjustRightInd w:val="0"/>
        <w:rPr>
          <w:rFonts w:ascii="Calibri" w:hAnsi="Calibri" w:cs="Arial"/>
          <w:lang w:val="en-US"/>
        </w:rPr>
      </w:pPr>
      <w:r w:rsidRPr="007D4816">
        <w:rPr>
          <w:rFonts w:ascii="Calibri" w:hAnsi="Calibri" w:cs="Arial"/>
          <w:lang w:val="en-US"/>
        </w:rPr>
        <w:t>the person giving information may be seriously at risk. In such cases, staff and volunteers should discuss the matter with their line manager and as appropriate, the Directors. Decisions that are made, and the reasons for them, must be properly recorded</w:t>
      </w:r>
      <w:r>
        <w:rPr>
          <w:rFonts w:ascii="Calibri" w:hAnsi="Calibri" w:cs="Arial"/>
          <w:lang w:val="en-US"/>
        </w:rPr>
        <w:t>.</w:t>
      </w:r>
    </w:p>
    <w:p w14:paraId="11FA5EB3" w14:textId="77777777" w:rsidR="00E436CC" w:rsidRDefault="00E436CC" w:rsidP="00E436CC">
      <w:pPr>
        <w:autoSpaceDE w:val="0"/>
        <w:autoSpaceDN w:val="0"/>
        <w:adjustRightInd w:val="0"/>
        <w:rPr>
          <w:rFonts w:ascii="Calibri" w:hAnsi="Calibri" w:cs="Arial"/>
          <w:lang w:val="en-US"/>
        </w:rPr>
      </w:pPr>
    </w:p>
    <w:p w14:paraId="0C873156" w14:textId="6050AC99" w:rsidR="00E436CC" w:rsidRPr="007D4816" w:rsidRDefault="00E436CC" w:rsidP="00E436CC">
      <w:pPr>
        <w:autoSpaceDE w:val="0"/>
        <w:autoSpaceDN w:val="0"/>
        <w:adjustRightInd w:val="0"/>
        <w:rPr>
          <w:rFonts w:ascii="Calibri" w:hAnsi="Calibri" w:cs="Arial"/>
          <w:lang w:val="en-US"/>
        </w:rPr>
      </w:pPr>
      <w:r w:rsidRPr="007D4816">
        <w:rPr>
          <w:rFonts w:ascii="Calibri" w:hAnsi="Calibri" w:cs="Arial"/>
          <w:lang w:val="en-US"/>
        </w:rPr>
        <w:t>When confidential information is divulged without consent, except where it might result in more harm to other people, the individual concerned should be informed and an explanation of the action given</w:t>
      </w:r>
      <w:r>
        <w:rPr>
          <w:rFonts w:ascii="Calibri" w:hAnsi="Calibri" w:cs="Arial"/>
          <w:lang w:val="en-US"/>
        </w:rPr>
        <w:t>.</w:t>
      </w:r>
    </w:p>
    <w:p w14:paraId="6CCCC8DF" w14:textId="77777777" w:rsidR="00E436CC" w:rsidRDefault="00E436CC" w:rsidP="00E436CC">
      <w:pPr>
        <w:autoSpaceDE w:val="0"/>
        <w:autoSpaceDN w:val="0"/>
        <w:rPr>
          <w:rFonts w:ascii="Calibri" w:hAnsi="Calibri" w:cs="Arial"/>
        </w:rPr>
      </w:pPr>
    </w:p>
    <w:p w14:paraId="397C5CFA" w14:textId="4D0FA8D5" w:rsidR="00E436CC" w:rsidRPr="007D4816" w:rsidRDefault="00E436CC" w:rsidP="00E436CC">
      <w:pPr>
        <w:autoSpaceDE w:val="0"/>
        <w:autoSpaceDN w:val="0"/>
        <w:rPr>
          <w:rFonts w:ascii="Calibri" w:hAnsi="Calibri" w:cs="Arial"/>
        </w:rPr>
      </w:pPr>
      <w:r w:rsidRPr="007D4816">
        <w:rPr>
          <w:rFonts w:ascii="Calibri" w:hAnsi="Calibri" w:cs="Arial"/>
        </w:rPr>
        <w:t>Employees who are dissatisfied with the conduct or actions of other colleagues or TDC should raise the matter with their line manager, using the grievance procedure if necessary, and not discuss it outside TDC</w:t>
      </w:r>
      <w:r>
        <w:rPr>
          <w:rFonts w:ascii="Calibri" w:hAnsi="Calibri" w:cs="Arial"/>
        </w:rPr>
        <w:t>.</w:t>
      </w:r>
    </w:p>
    <w:p w14:paraId="2EF8082F" w14:textId="77777777" w:rsidR="00E436CC" w:rsidRDefault="00E436CC" w:rsidP="00E436CC">
      <w:pPr>
        <w:autoSpaceDE w:val="0"/>
        <w:autoSpaceDN w:val="0"/>
        <w:rPr>
          <w:rFonts w:ascii="Calibri" w:hAnsi="Calibri" w:cs="Arial"/>
          <w:lang w:val="en-US"/>
        </w:rPr>
      </w:pPr>
    </w:p>
    <w:p w14:paraId="7307A727" w14:textId="7C5ED1EE" w:rsidR="00E436CC" w:rsidRPr="007D4816" w:rsidRDefault="00E436CC" w:rsidP="00E436CC">
      <w:pPr>
        <w:autoSpaceDE w:val="0"/>
        <w:autoSpaceDN w:val="0"/>
        <w:rPr>
          <w:rFonts w:ascii="Calibri" w:hAnsi="Calibri" w:cs="Arial"/>
          <w:b/>
          <w:bCs/>
        </w:rPr>
      </w:pPr>
      <w:r w:rsidRPr="007D4816">
        <w:rPr>
          <w:rFonts w:ascii="Calibri" w:hAnsi="Calibri" w:cs="Arial"/>
          <w:lang w:val="en-US"/>
        </w:rPr>
        <w:t>Breaches of the confidentiality may result in disciplinary action</w:t>
      </w:r>
      <w:r>
        <w:rPr>
          <w:rFonts w:ascii="Calibri" w:hAnsi="Calibri" w:cs="Arial"/>
          <w:lang w:val="en-US"/>
        </w:rPr>
        <w:t>.</w:t>
      </w:r>
    </w:p>
    <w:p w14:paraId="5682FBDB" w14:textId="77777777" w:rsidR="00FD561D" w:rsidRDefault="00FD561D" w:rsidP="00CD4ACB">
      <w:pPr>
        <w:rPr>
          <w:rFonts w:asciiTheme="minorHAnsi" w:hAnsiTheme="minorHAnsi" w:cs="Arial"/>
          <w:b/>
        </w:rPr>
      </w:pPr>
    </w:p>
    <w:p w14:paraId="79C14649" w14:textId="33DA3DD6" w:rsidR="00203CE7" w:rsidRPr="00E436CC" w:rsidRDefault="00203CE7" w:rsidP="00CD4ACB">
      <w:pPr>
        <w:rPr>
          <w:rFonts w:asciiTheme="minorHAnsi" w:hAnsiTheme="minorHAnsi" w:cs="Arial"/>
          <w:b/>
          <w:u w:val="single"/>
        </w:rPr>
      </w:pPr>
      <w:r w:rsidRPr="00E436CC">
        <w:rPr>
          <w:rFonts w:asciiTheme="minorHAnsi" w:hAnsiTheme="minorHAnsi" w:cs="Arial"/>
          <w:b/>
          <w:u w:val="single"/>
        </w:rPr>
        <w:t>Rights of the individual to access information (S.A.R.s)</w:t>
      </w:r>
    </w:p>
    <w:p w14:paraId="4C5D47D7" w14:textId="77777777" w:rsidR="00203CE7" w:rsidRPr="00DA112E" w:rsidRDefault="00203CE7" w:rsidP="00203CE7">
      <w:pPr>
        <w:ind w:left="360"/>
        <w:rPr>
          <w:rFonts w:asciiTheme="minorHAnsi" w:hAnsiTheme="minorHAnsi" w:cs="Arial"/>
          <w:b/>
        </w:rPr>
      </w:pPr>
    </w:p>
    <w:p w14:paraId="2F341B48" w14:textId="4B7BAA05" w:rsidR="00203CE7" w:rsidRPr="00DA112E" w:rsidRDefault="00203CE7" w:rsidP="00FD561D">
      <w:pPr>
        <w:pStyle w:val="Default"/>
        <w:rPr>
          <w:rFonts w:asciiTheme="minorHAnsi" w:hAnsiTheme="minorHAnsi"/>
          <w:color w:val="auto"/>
        </w:rPr>
      </w:pPr>
      <w:r w:rsidRPr="00DA112E">
        <w:rPr>
          <w:rFonts w:asciiTheme="minorHAnsi" w:hAnsiTheme="minorHAnsi"/>
          <w:color w:val="auto"/>
        </w:rPr>
        <w:t xml:space="preserve">Employees and other users / members of </w:t>
      </w:r>
      <w:r w:rsidR="002A3052" w:rsidRPr="00DA112E">
        <w:rPr>
          <w:rFonts w:asciiTheme="minorHAnsi" w:hAnsiTheme="minorHAnsi"/>
          <w:color w:val="auto"/>
        </w:rPr>
        <w:t xml:space="preserve">TDC </w:t>
      </w:r>
      <w:r w:rsidRPr="00DA112E">
        <w:rPr>
          <w:rFonts w:asciiTheme="minorHAnsi" w:hAnsiTheme="minorHAnsi"/>
          <w:color w:val="auto"/>
        </w:rPr>
        <w:t xml:space="preserve">have the right to access any personal data that is being kept about them either on computer or in other types of files. Should any person wish to exercise this right they should contact the Data Protection Controller. </w:t>
      </w:r>
    </w:p>
    <w:p w14:paraId="64A43431" w14:textId="77777777" w:rsidR="00203CE7" w:rsidRPr="00DA112E" w:rsidRDefault="00203CE7" w:rsidP="00203CE7">
      <w:pPr>
        <w:pStyle w:val="Default"/>
        <w:ind w:left="360"/>
        <w:rPr>
          <w:rFonts w:asciiTheme="minorHAnsi" w:hAnsiTheme="minorHAnsi"/>
          <w:color w:val="auto"/>
        </w:rPr>
      </w:pPr>
    </w:p>
    <w:p w14:paraId="1799A859" w14:textId="360E46B6" w:rsidR="00203CE7" w:rsidRPr="00DA112E" w:rsidRDefault="00203CE7" w:rsidP="00FD561D">
      <w:pPr>
        <w:pStyle w:val="Default"/>
        <w:rPr>
          <w:rFonts w:asciiTheme="minorHAnsi" w:hAnsiTheme="minorHAnsi"/>
          <w:color w:val="auto"/>
        </w:rPr>
      </w:pPr>
      <w:r w:rsidRPr="00DA112E">
        <w:rPr>
          <w:rFonts w:asciiTheme="minorHAnsi" w:hAnsiTheme="minorHAnsi"/>
          <w:color w:val="auto"/>
        </w:rPr>
        <w:t xml:space="preserve">In order to gain access, a request should be made in writing to the Data Protection Controller. </w:t>
      </w:r>
    </w:p>
    <w:p w14:paraId="7FF48AC4" w14:textId="77777777" w:rsidR="00203CE7" w:rsidRPr="00DA112E" w:rsidRDefault="00203CE7" w:rsidP="00203CE7">
      <w:pPr>
        <w:pStyle w:val="Default"/>
        <w:ind w:left="360"/>
        <w:rPr>
          <w:rFonts w:asciiTheme="minorHAnsi" w:hAnsiTheme="minorHAnsi"/>
          <w:color w:val="auto"/>
        </w:rPr>
      </w:pPr>
    </w:p>
    <w:p w14:paraId="168E88D7" w14:textId="68C37605" w:rsidR="00203CE7" w:rsidRPr="00DA112E" w:rsidRDefault="002A3052" w:rsidP="00FD561D">
      <w:pPr>
        <w:pStyle w:val="Default"/>
        <w:rPr>
          <w:rFonts w:asciiTheme="minorHAnsi" w:hAnsiTheme="minorHAnsi"/>
          <w:color w:val="auto"/>
        </w:rPr>
      </w:pPr>
      <w:r w:rsidRPr="00DA112E">
        <w:rPr>
          <w:rFonts w:asciiTheme="minorHAnsi" w:hAnsiTheme="minorHAnsi"/>
          <w:color w:val="auto"/>
        </w:rPr>
        <w:t xml:space="preserve">TDC </w:t>
      </w:r>
      <w:r w:rsidR="00203CE7" w:rsidRPr="00DA112E">
        <w:rPr>
          <w:rFonts w:asciiTheme="minorHAnsi" w:hAnsiTheme="minorHAnsi"/>
          <w:color w:val="auto"/>
        </w:rPr>
        <w:t xml:space="preserve">aims to comply with requests for access to personal information as quickly as possible, but will ensure that it is provided within </w:t>
      </w:r>
      <w:r w:rsidR="00B84886">
        <w:rPr>
          <w:rFonts w:asciiTheme="minorHAnsi" w:hAnsiTheme="minorHAnsi"/>
          <w:color w:val="auto"/>
        </w:rPr>
        <w:t>1 month</w:t>
      </w:r>
      <w:r w:rsidR="00203CE7" w:rsidRPr="00DA112E">
        <w:rPr>
          <w:rFonts w:asciiTheme="minorHAnsi" w:hAnsiTheme="minorHAnsi"/>
          <w:color w:val="auto"/>
        </w:rPr>
        <w:t xml:space="preserve">. </w:t>
      </w:r>
    </w:p>
    <w:p w14:paraId="3DA54125" w14:textId="77777777" w:rsidR="00203CE7" w:rsidRPr="00DA112E" w:rsidRDefault="00203CE7" w:rsidP="00203CE7">
      <w:pPr>
        <w:rPr>
          <w:rFonts w:asciiTheme="minorHAnsi" w:hAnsiTheme="minorHAnsi" w:cs="Arial"/>
        </w:rPr>
      </w:pPr>
    </w:p>
    <w:p w14:paraId="6EE6AC28" w14:textId="0B7197BF" w:rsidR="00203CE7" w:rsidRPr="00E436CC" w:rsidRDefault="00203CE7" w:rsidP="00203CE7">
      <w:pPr>
        <w:rPr>
          <w:rFonts w:asciiTheme="minorHAnsi" w:hAnsiTheme="minorHAnsi" w:cs="Arial"/>
          <w:b/>
          <w:u w:val="single"/>
        </w:rPr>
      </w:pPr>
      <w:r w:rsidRPr="00E436CC">
        <w:rPr>
          <w:rFonts w:asciiTheme="minorHAnsi" w:hAnsiTheme="minorHAnsi" w:cs="Arial"/>
          <w:b/>
          <w:u w:val="single"/>
        </w:rPr>
        <w:t>Inaccurate Data</w:t>
      </w:r>
    </w:p>
    <w:p w14:paraId="642BF11E" w14:textId="77777777" w:rsidR="00203CE7" w:rsidRPr="00DA112E" w:rsidRDefault="00203CE7" w:rsidP="00203CE7">
      <w:pPr>
        <w:rPr>
          <w:rFonts w:asciiTheme="minorHAnsi" w:hAnsiTheme="minorHAnsi" w:cs="Arial"/>
          <w:b/>
        </w:rPr>
      </w:pPr>
    </w:p>
    <w:p w14:paraId="0BDDCA9D" w14:textId="7A129A98" w:rsidR="00FD561D" w:rsidRPr="00FD561D" w:rsidRDefault="00203CE7" w:rsidP="00203CE7">
      <w:pPr>
        <w:rPr>
          <w:rFonts w:asciiTheme="minorHAnsi" w:hAnsiTheme="minorHAnsi" w:cs="Arial"/>
        </w:rPr>
      </w:pPr>
      <w:r w:rsidRPr="00DA112E">
        <w:rPr>
          <w:rFonts w:asciiTheme="minorHAnsi" w:hAnsiTheme="minorHAnsi" w:cs="Arial"/>
        </w:rPr>
        <w:t xml:space="preserve">Where an individual advises that their data is inaccurate </w:t>
      </w:r>
      <w:r w:rsidR="00CD4ACB">
        <w:rPr>
          <w:rFonts w:asciiTheme="minorHAnsi" w:hAnsiTheme="minorHAnsi" w:cs="Arial"/>
        </w:rPr>
        <w:t xml:space="preserve">TDC </w:t>
      </w:r>
      <w:r w:rsidRPr="00DA112E">
        <w:rPr>
          <w:rFonts w:asciiTheme="minorHAnsi" w:hAnsiTheme="minorHAnsi" w:cs="Arial"/>
        </w:rPr>
        <w:t>will ensure the inaccuracy is corrected within 7 working days.</w:t>
      </w:r>
    </w:p>
    <w:p w14:paraId="1FBA81C7" w14:textId="77777777" w:rsidR="00FD561D" w:rsidRDefault="00FD561D" w:rsidP="00203CE7">
      <w:pPr>
        <w:rPr>
          <w:rFonts w:asciiTheme="minorHAnsi" w:hAnsiTheme="minorHAnsi" w:cs="Arial"/>
          <w:b/>
        </w:rPr>
      </w:pPr>
    </w:p>
    <w:p w14:paraId="55EF310A" w14:textId="56B2AD98" w:rsidR="00203CE7" w:rsidRPr="00E436CC" w:rsidRDefault="00203CE7" w:rsidP="00203CE7">
      <w:pPr>
        <w:rPr>
          <w:rFonts w:asciiTheme="minorHAnsi" w:hAnsiTheme="minorHAnsi" w:cs="Arial"/>
          <w:b/>
          <w:u w:val="single"/>
        </w:rPr>
      </w:pPr>
      <w:r w:rsidRPr="00E436CC">
        <w:rPr>
          <w:rFonts w:asciiTheme="minorHAnsi" w:hAnsiTheme="minorHAnsi" w:cs="Arial"/>
          <w:b/>
          <w:u w:val="single"/>
        </w:rPr>
        <w:t>Complaints</w:t>
      </w:r>
    </w:p>
    <w:p w14:paraId="39F1D34C" w14:textId="77777777" w:rsidR="00203CE7" w:rsidRPr="00DA112E" w:rsidRDefault="00203CE7" w:rsidP="00203CE7">
      <w:pPr>
        <w:rPr>
          <w:rFonts w:asciiTheme="minorHAnsi" w:hAnsiTheme="minorHAnsi" w:cs="Arial"/>
          <w:b/>
        </w:rPr>
      </w:pPr>
    </w:p>
    <w:p w14:paraId="004D374D" w14:textId="7F22296B" w:rsidR="00203CE7" w:rsidRPr="00DA112E" w:rsidRDefault="00203CE7" w:rsidP="00CD4ACB">
      <w:pPr>
        <w:rPr>
          <w:rFonts w:asciiTheme="minorHAnsi" w:hAnsiTheme="minorHAnsi" w:cs="Arial"/>
        </w:rPr>
      </w:pPr>
      <w:r w:rsidRPr="00DA112E">
        <w:rPr>
          <w:rFonts w:asciiTheme="minorHAnsi" w:hAnsiTheme="minorHAnsi" w:cs="Arial"/>
        </w:rPr>
        <w:t xml:space="preserve">Any complaints about the way </w:t>
      </w:r>
      <w:r w:rsidR="00CD4ACB">
        <w:rPr>
          <w:rFonts w:asciiTheme="minorHAnsi" w:hAnsiTheme="minorHAnsi" w:cs="Arial"/>
        </w:rPr>
        <w:t xml:space="preserve">TDC </w:t>
      </w:r>
      <w:r w:rsidRPr="00DA112E">
        <w:rPr>
          <w:rFonts w:asciiTheme="minorHAnsi" w:hAnsiTheme="minorHAnsi" w:cs="Arial"/>
        </w:rPr>
        <w:t>handle</w:t>
      </w:r>
      <w:r w:rsidR="00CD4ACB">
        <w:rPr>
          <w:rFonts w:asciiTheme="minorHAnsi" w:hAnsiTheme="minorHAnsi" w:cs="Arial"/>
        </w:rPr>
        <w:t>s</w:t>
      </w:r>
      <w:r w:rsidRPr="00DA112E">
        <w:rPr>
          <w:rFonts w:asciiTheme="minorHAnsi" w:hAnsiTheme="minorHAnsi" w:cs="Arial"/>
        </w:rPr>
        <w:t xml:space="preserve"> or use</w:t>
      </w:r>
      <w:r w:rsidR="00CD4ACB">
        <w:rPr>
          <w:rFonts w:asciiTheme="minorHAnsi" w:hAnsiTheme="minorHAnsi" w:cs="Arial"/>
        </w:rPr>
        <w:t>s</w:t>
      </w:r>
      <w:r w:rsidRPr="00DA112E">
        <w:rPr>
          <w:rFonts w:asciiTheme="minorHAnsi" w:hAnsiTheme="minorHAnsi" w:cs="Arial"/>
        </w:rPr>
        <w:t xml:space="preserve"> data will be dealt with under </w:t>
      </w:r>
      <w:r w:rsidR="00CD4ACB">
        <w:rPr>
          <w:rFonts w:asciiTheme="minorHAnsi" w:hAnsiTheme="minorHAnsi" w:cs="Arial"/>
        </w:rPr>
        <w:t xml:space="preserve">the </w:t>
      </w:r>
      <w:r w:rsidRPr="00DA112E">
        <w:rPr>
          <w:rFonts w:asciiTheme="minorHAnsi" w:hAnsiTheme="minorHAnsi" w:cs="Arial"/>
        </w:rPr>
        <w:t xml:space="preserve">Complaints </w:t>
      </w:r>
      <w:r w:rsidR="00CD4ACB">
        <w:rPr>
          <w:rFonts w:asciiTheme="minorHAnsi" w:hAnsiTheme="minorHAnsi" w:cs="Arial"/>
        </w:rPr>
        <w:t xml:space="preserve">Policy and </w:t>
      </w:r>
      <w:r w:rsidRPr="00DA112E">
        <w:rPr>
          <w:rFonts w:asciiTheme="minorHAnsi" w:hAnsiTheme="minorHAnsi" w:cs="Arial"/>
        </w:rPr>
        <w:t>Procedure.</w:t>
      </w:r>
    </w:p>
    <w:p w14:paraId="00675DBD" w14:textId="77777777" w:rsidR="00203CE7" w:rsidRPr="00DA112E" w:rsidRDefault="00203CE7" w:rsidP="00203CE7">
      <w:pPr>
        <w:rPr>
          <w:rFonts w:asciiTheme="minorHAnsi" w:hAnsiTheme="minorHAnsi" w:cs="Arial"/>
        </w:rPr>
      </w:pPr>
    </w:p>
    <w:p w14:paraId="5FE7A588" w14:textId="3B7FD055" w:rsidR="00203CE7" w:rsidRPr="00E436CC" w:rsidRDefault="00203CE7" w:rsidP="00203CE7">
      <w:pPr>
        <w:rPr>
          <w:rFonts w:asciiTheme="minorHAnsi" w:hAnsiTheme="minorHAnsi" w:cs="Arial"/>
          <w:b/>
          <w:u w:val="single"/>
        </w:rPr>
      </w:pPr>
      <w:r w:rsidRPr="00E436CC">
        <w:rPr>
          <w:rFonts w:asciiTheme="minorHAnsi" w:hAnsiTheme="minorHAnsi" w:cs="Arial"/>
          <w:b/>
          <w:u w:val="single"/>
        </w:rPr>
        <w:t>Overseas Transfer</w:t>
      </w:r>
    </w:p>
    <w:p w14:paraId="42A9B883" w14:textId="77777777" w:rsidR="00D34583" w:rsidRPr="00DA112E" w:rsidRDefault="00D34583" w:rsidP="00203CE7">
      <w:pPr>
        <w:rPr>
          <w:rFonts w:asciiTheme="minorHAnsi" w:hAnsiTheme="minorHAnsi" w:cs="Arial"/>
          <w:b/>
          <w:sz w:val="28"/>
        </w:rPr>
      </w:pPr>
    </w:p>
    <w:p w14:paraId="20D14E81" w14:textId="5C9BFC3C" w:rsidR="00203CE7" w:rsidRPr="00CD4ACB" w:rsidRDefault="00203CE7" w:rsidP="00203CE7">
      <w:pPr>
        <w:rPr>
          <w:rFonts w:asciiTheme="minorHAnsi" w:hAnsiTheme="minorHAnsi" w:cs="Arial"/>
        </w:rPr>
      </w:pPr>
      <w:r w:rsidRPr="00DA112E">
        <w:rPr>
          <w:rFonts w:asciiTheme="minorHAnsi" w:hAnsiTheme="minorHAnsi" w:cs="Arial"/>
        </w:rPr>
        <w:t>It is our policy not to transfer any data overseas.</w:t>
      </w:r>
    </w:p>
    <w:p w14:paraId="30B25A77" w14:textId="77777777" w:rsidR="00203CE7" w:rsidRPr="00DA112E" w:rsidRDefault="00203CE7" w:rsidP="0085284C">
      <w:pPr>
        <w:rPr>
          <w:rFonts w:asciiTheme="minorHAnsi" w:hAnsiTheme="minorHAnsi" w:cs="Arial"/>
          <w:b/>
        </w:rPr>
      </w:pPr>
    </w:p>
    <w:p w14:paraId="0B2456BF" w14:textId="130D6405" w:rsidR="00203CE7" w:rsidRPr="00E436CC" w:rsidRDefault="00203CE7" w:rsidP="0085284C">
      <w:pPr>
        <w:rPr>
          <w:rFonts w:asciiTheme="minorHAnsi" w:hAnsiTheme="minorHAnsi" w:cs="Arial"/>
          <w:b/>
          <w:u w:val="single"/>
        </w:rPr>
      </w:pPr>
      <w:r w:rsidRPr="00E436CC">
        <w:rPr>
          <w:rFonts w:asciiTheme="minorHAnsi" w:hAnsiTheme="minorHAnsi" w:cs="Arial"/>
          <w:b/>
          <w:u w:val="single"/>
        </w:rPr>
        <w:t xml:space="preserve">Conclusion  </w:t>
      </w:r>
    </w:p>
    <w:p w14:paraId="0418578E" w14:textId="77777777" w:rsidR="00D34583" w:rsidRPr="00DA112E" w:rsidRDefault="00D34583" w:rsidP="00203CE7">
      <w:pPr>
        <w:pStyle w:val="Default"/>
        <w:rPr>
          <w:rFonts w:asciiTheme="minorHAnsi" w:hAnsiTheme="minorHAnsi"/>
          <w:color w:val="auto"/>
          <w:sz w:val="28"/>
        </w:rPr>
      </w:pPr>
    </w:p>
    <w:p w14:paraId="496860C6" w14:textId="424BCE3B" w:rsidR="00203CE7" w:rsidRPr="00DA112E" w:rsidRDefault="00203CE7" w:rsidP="00FD561D">
      <w:pPr>
        <w:rPr>
          <w:rFonts w:asciiTheme="minorHAnsi" w:hAnsiTheme="minorHAnsi" w:cs="Arial"/>
        </w:rPr>
      </w:pPr>
      <w:r w:rsidRPr="00DA112E">
        <w:rPr>
          <w:rFonts w:asciiTheme="minorHAnsi" w:hAnsiTheme="minorHAnsi" w:cs="Arial"/>
        </w:rPr>
        <w:t xml:space="preserve">Compliance with </w:t>
      </w:r>
      <w:r w:rsidR="00965A87" w:rsidRPr="00DA112E">
        <w:rPr>
          <w:rFonts w:asciiTheme="minorHAnsi" w:hAnsiTheme="minorHAnsi" w:cs="Arial"/>
        </w:rPr>
        <w:t>GDPR</w:t>
      </w:r>
      <w:r w:rsidRPr="00DA112E">
        <w:rPr>
          <w:rFonts w:asciiTheme="minorHAnsi" w:hAnsiTheme="minorHAnsi" w:cs="Arial"/>
        </w:rPr>
        <w:t xml:space="preserve"> is the responsibility of all staff, volunteers, trustees and members of </w:t>
      </w:r>
      <w:r w:rsidR="004051D8" w:rsidRPr="00DA112E">
        <w:rPr>
          <w:rFonts w:asciiTheme="minorHAnsi" w:hAnsiTheme="minorHAnsi" w:cs="Arial"/>
        </w:rPr>
        <w:t>TDC</w:t>
      </w:r>
      <w:r w:rsidRPr="00DA112E">
        <w:rPr>
          <w:rFonts w:asciiTheme="minorHAnsi" w:hAnsiTheme="minorHAnsi" w:cs="Arial"/>
        </w:rPr>
        <w:t>. Any deliberate breach of the Data Protection</w:t>
      </w:r>
      <w:r w:rsidR="00965A87" w:rsidRPr="00DA112E">
        <w:rPr>
          <w:rFonts w:asciiTheme="minorHAnsi" w:hAnsiTheme="minorHAnsi" w:cs="Arial"/>
        </w:rPr>
        <w:t xml:space="preserve"> and GDPR</w:t>
      </w:r>
      <w:r w:rsidRPr="00DA112E">
        <w:rPr>
          <w:rFonts w:asciiTheme="minorHAnsi" w:hAnsiTheme="minorHAnsi" w:cs="Arial"/>
        </w:rPr>
        <w:t xml:space="preserve"> Policy may lead to disciplinary action being taken, or access to </w:t>
      </w:r>
      <w:r w:rsidR="009D00DB" w:rsidRPr="00DA112E">
        <w:rPr>
          <w:rFonts w:asciiTheme="minorHAnsi" w:hAnsiTheme="minorHAnsi" w:cs="Arial"/>
        </w:rPr>
        <w:t xml:space="preserve">TDC </w:t>
      </w:r>
      <w:r w:rsidRPr="00DA112E">
        <w:rPr>
          <w:rFonts w:asciiTheme="minorHAnsi" w:hAnsiTheme="minorHAnsi" w:cs="Arial"/>
        </w:rPr>
        <w:t xml:space="preserve">facilities being withdrawn, or even a criminal prosecution. </w:t>
      </w:r>
    </w:p>
    <w:p w14:paraId="0B5065AC" w14:textId="77777777" w:rsidR="00203CE7" w:rsidRPr="00DA112E" w:rsidRDefault="00203CE7" w:rsidP="00203CE7">
      <w:pPr>
        <w:tabs>
          <w:tab w:val="left" w:pos="3120"/>
        </w:tabs>
        <w:ind w:left="720" w:hanging="720"/>
        <w:rPr>
          <w:rFonts w:asciiTheme="minorHAnsi" w:hAnsiTheme="minorHAnsi" w:cs="Arial"/>
        </w:rPr>
      </w:pPr>
      <w:r w:rsidRPr="00DA112E">
        <w:rPr>
          <w:rFonts w:asciiTheme="minorHAnsi" w:hAnsiTheme="minorHAnsi" w:cs="Arial"/>
        </w:rPr>
        <w:tab/>
      </w:r>
      <w:r w:rsidRPr="00DA112E">
        <w:rPr>
          <w:rFonts w:asciiTheme="minorHAnsi" w:hAnsiTheme="minorHAnsi" w:cs="Arial"/>
        </w:rPr>
        <w:tab/>
      </w:r>
    </w:p>
    <w:p w14:paraId="54C397C3" w14:textId="77777777" w:rsidR="00570777" w:rsidRDefault="00570777" w:rsidP="00371460">
      <w:pPr>
        <w:rPr>
          <w:rFonts w:asciiTheme="minorHAnsi" w:hAnsiTheme="minorHAnsi" w:cs="Arial"/>
        </w:rPr>
      </w:pPr>
    </w:p>
    <w:p w14:paraId="54506795" w14:textId="77777777" w:rsidR="00570777" w:rsidRDefault="00570777" w:rsidP="00371460">
      <w:pPr>
        <w:rPr>
          <w:rFonts w:asciiTheme="minorHAnsi" w:hAnsiTheme="minorHAnsi" w:cs="Arial"/>
        </w:rPr>
      </w:pPr>
    </w:p>
    <w:p w14:paraId="142FAE21" w14:textId="6EA1E80F" w:rsidR="00CD4ACB" w:rsidRPr="00371460" w:rsidRDefault="00203CE7" w:rsidP="00371460">
      <w:pPr>
        <w:rPr>
          <w:rFonts w:asciiTheme="minorHAnsi" w:hAnsiTheme="minorHAnsi" w:cs="Arial"/>
        </w:rPr>
      </w:pPr>
      <w:r w:rsidRPr="00DA112E">
        <w:rPr>
          <w:rFonts w:asciiTheme="minorHAnsi" w:hAnsiTheme="minorHAnsi" w:cs="Arial"/>
        </w:rPr>
        <w:t xml:space="preserve">Any questions or concerns about the interpretation or operation of this Policy should be taken up with the </w:t>
      </w:r>
      <w:r w:rsidR="007A758F" w:rsidRPr="00DA112E">
        <w:rPr>
          <w:rFonts w:asciiTheme="minorHAnsi" w:hAnsiTheme="minorHAnsi" w:cs="Arial"/>
        </w:rPr>
        <w:t>Data Controller</w:t>
      </w:r>
      <w:r w:rsidRPr="00DA112E">
        <w:rPr>
          <w:rFonts w:asciiTheme="minorHAnsi" w:hAnsiTheme="minorHAnsi" w:cs="Arial"/>
        </w:rPr>
        <w:t>.</w:t>
      </w:r>
    </w:p>
    <w:p w14:paraId="710A51F2" w14:textId="77777777" w:rsidR="00CD4ACB" w:rsidRDefault="00CD4ACB" w:rsidP="00203CE7">
      <w:pPr>
        <w:jc w:val="right"/>
        <w:rPr>
          <w:rFonts w:asciiTheme="minorHAnsi" w:hAnsiTheme="minorHAnsi"/>
          <w:b/>
        </w:rPr>
      </w:pPr>
    </w:p>
    <w:p w14:paraId="280FB6E8" w14:textId="77777777" w:rsidR="00CD4ACB" w:rsidRDefault="00CD4ACB" w:rsidP="00734EBC">
      <w:pPr>
        <w:rPr>
          <w:rFonts w:asciiTheme="minorHAnsi" w:hAnsiTheme="minorHAnsi"/>
          <w:b/>
        </w:rPr>
      </w:pPr>
    </w:p>
    <w:p w14:paraId="39E92D87" w14:textId="1A5CAE7B" w:rsidR="00203CE7" w:rsidRDefault="00203CE7" w:rsidP="00371460">
      <w:pPr>
        <w:spacing w:after="200" w:line="276" w:lineRule="auto"/>
        <w:rPr>
          <w:rFonts w:asciiTheme="minorHAnsi" w:hAnsiTheme="minorHAnsi"/>
          <w:b/>
        </w:rPr>
      </w:pPr>
      <w:r w:rsidRPr="00DA112E">
        <w:rPr>
          <w:rFonts w:asciiTheme="minorHAnsi" w:hAnsiTheme="minorHAnsi"/>
          <w:b/>
        </w:rPr>
        <w:t>Appendix A</w:t>
      </w:r>
    </w:p>
    <w:p w14:paraId="22E46D80" w14:textId="77777777" w:rsidR="00734EBC" w:rsidRPr="00DA112E" w:rsidRDefault="00734EBC" w:rsidP="00734EBC">
      <w:pPr>
        <w:rPr>
          <w:rFonts w:asciiTheme="minorHAnsi" w:hAnsiTheme="minorHAnsi"/>
          <w:b/>
        </w:rPr>
      </w:pPr>
    </w:p>
    <w:p w14:paraId="2403147F" w14:textId="77777777" w:rsidR="00203CE7" w:rsidRPr="00DA112E" w:rsidRDefault="00203CE7" w:rsidP="00203CE7">
      <w:pPr>
        <w:rPr>
          <w:rFonts w:asciiTheme="minorHAnsi" w:hAnsiTheme="minorHAnsi"/>
          <w:b/>
        </w:rPr>
      </w:pPr>
      <w:r w:rsidRPr="00DA112E">
        <w:rPr>
          <w:rFonts w:asciiTheme="minorHAnsi" w:hAnsiTheme="minorHAnsi"/>
          <w:b/>
        </w:rPr>
        <w:t>Document retention periods relating to staff and accounts</w:t>
      </w:r>
    </w:p>
    <w:p w14:paraId="6D30BB5A" w14:textId="77777777" w:rsidR="00203CE7" w:rsidRPr="00DA112E" w:rsidRDefault="00203CE7" w:rsidP="00203CE7">
      <w:pPr>
        <w:rPr>
          <w:rFonts w:asciiTheme="minorHAnsi" w:hAnsiTheme="minorHAnsi"/>
          <w:b/>
        </w:rPr>
      </w:pPr>
    </w:p>
    <w:tbl>
      <w:tblPr>
        <w:tblStyle w:val="LightList-Accent5"/>
        <w:tblW w:w="0" w:type="auto"/>
        <w:tblLook w:val="04A0" w:firstRow="1" w:lastRow="0" w:firstColumn="1" w:lastColumn="0" w:noHBand="0" w:noVBand="1"/>
      </w:tblPr>
      <w:tblGrid>
        <w:gridCol w:w="3285"/>
        <w:gridCol w:w="2490"/>
        <w:gridCol w:w="3231"/>
      </w:tblGrid>
      <w:tr w:rsidR="006A7DD2" w:rsidRPr="00DA112E" w14:paraId="06889F07" w14:textId="77777777" w:rsidTr="006A7DD2">
        <w:trPr>
          <w:cnfStyle w:val="100000000000" w:firstRow="1" w:lastRow="0" w:firstColumn="0" w:lastColumn="0" w:oddVBand="0" w:evenVBand="0" w:oddHBand="0" w:evenHBand="0" w:firstRowFirstColumn="0" w:firstRowLastColumn="0" w:lastRowFirstColumn="0" w:lastRowLastColumn="0"/>
          <w:trHeight w:val="660"/>
          <w:tblHeader/>
        </w:trPr>
        <w:tc>
          <w:tcPr>
            <w:cnfStyle w:val="001000000000" w:firstRow="0" w:lastRow="0" w:firstColumn="1" w:lastColumn="0" w:oddVBand="0" w:evenVBand="0" w:oddHBand="0" w:evenHBand="0" w:firstRowFirstColumn="0" w:firstRowLastColumn="0" w:lastRowFirstColumn="0" w:lastRowLastColumn="0"/>
            <w:tcW w:w="3369" w:type="dxa"/>
            <w:hideMark/>
          </w:tcPr>
          <w:p w14:paraId="493F4CA7" w14:textId="77777777" w:rsidR="00203CE7" w:rsidRPr="00DA112E" w:rsidRDefault="00203CE7" w:rsidP="00150AA1">
            <w:pPr>
              <w:spacing w:after="150"/>
              <w:jc w:val="center"/>
              <w:rPr>
                <w:rFonts w:asciiTheme="minorHAnsi" w:hAnsiTheme="minorHAnsi"/>
                <w:bCs w:val="0"/>
                <w:color w:val="auto"/>
              </w:rPr>
            </w:pPr>
            <w:r w:rsidRPr="00DA112E">
              <w:rPr>
                <w:rFonts w:asciiTheme="minorHAnsi" w:hAnsiTheme="minorHAnsi"/>
                <w:bCs w:val="0"/>
                <w:color w:val="auto"/>
              </w:rPr>
              <w:t>Record</w:t>
            </w:r>
          </w:p>
        </w:tc>
        <w:tc>
          <w:tcPr>
            <w:tcW w:w="2551" w:type="dxa"/>
            <w:hideMark/>
          </w:tcPr>
          <w:p w14:paraId="26184AAC" w14:textId="77777777" w:rsidR="00203CE7" w:rsidRPr="00DA112E" w:rsidRDefault="00203CE7" w:rsidP="00150AA1">
            <w:pPr>
              <w:spacing w:after="15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auto"/>
              </w:rPr>
            </w:pPr>
            <w:r w:rsidRPr="00DA112E">
              <w:rPr>
                <w:rFonts w:asciiTheme="minorHAnsi" w:hAnsiTheme="minorHAnsi"/>
                <w:bCs w:val="0"/>
                <w:color w:val="auto"/>
              </w:rPr>
              <w:t>Statutory retention period</w:t>
            </w:r>
          </w:p>
        </w:tc>
        <w:tc>
          <w:tcPr>
            <w:tcW w:w="3322" w:type="dxa"/>
            <w:hideMark/>
          </w:tcPr>
          <w:p w14:paraId="5E50760F" w14:textId="77777777" w:rsidR="00203CE7" w:rsidRPr="00DA112E" w:rsidRDefault="00203CE7" w:rsidP="00150AA1">
            <w:pPr>
              <w:spacing w:after="15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auto"/>
              </w:rPr>
            </w:pPr>
            <w:r w:rsidRPr="00DA112E">
              <w:rPr>
                <w:rFonts w:asciiTheme="minorHAnsi" w:hAnsiTheme="minorHAnsi"/>
                <w:bCs w:val="0"/>
                <w:color w:val="auto"/>
              </w:rPr>
              <w:t>Statutory authority and/or Reason for retention</w:t>
            </w:r>
          </w:p>
        </w:tc>
      </w:tr>
      <w:tr w:rsidR="006A7DD2" w:rsidRPr="00DA112E" w14:paraId="54901ACA" w14:textId="77777777" w:rsidTr="006A7DD2">
        <w:trPr>
          <w:cnfStyle w:val="000000100000" w:firstRow="0" w:lastRow="0" w:firstColumn="0" w:lastColumn="0" w:oddVBand="0" w:evenVBand="0" w:oddHBand="1" w:evenHBand="0" w:firstRowFirstColumn="0" w:firstRowLastColumn="0" w:lastRowFirstColumn="0" w:lastRowLastColumn="0"/>
          <w:trHeight w:val="1374"/>
        </w:trPr>
        <w:tc>
          <w:tcPr>
            <w:cnfStyle w:val="001000000000" w:firstRow="0" w:lastRow="0" w:firstColumn="1" w:lastColumn="0" w:oddVBand="0" w:evenVBand="0" w:oddHBand="0" w:evenHBand="0" w:firstRowFirstColumn="0" w:firstRowLastColumn="0" w:lastRowFirstColumn="0" w:lastRowLastColumn="0"/>
            <w:tcW w:w="3369" w:type="dxa"/>
            <w:hideMark/>
          </w:tcPr>
          <w:p w14:paraId="159B8BDE" w14:textId="77777777" w:rsidR="00203CE7" w:rsidRPr="00DA112E" w:rsidRDefault="00203CE7" w:rsidP="00150AA1">
            <w:pPr>
              <w:spacing w:after="150"/>
              <w:jc w:val="center"/>
              <w:rPr>
                <w:rFonts w:asciiTheme="minorHAnsi" w:hAnsiTheme="minorHAnsi" w:cs="Arial"/>
              </w:rPr>
            </w:pPr>
            <w:r w:rsidRPr="00DA112E">
              <w:rPr>
                <w:rFonts w:asciiTheme="minorHAnsi" w:hAnsiTheme="minorHAnsi" w:cs="Arial"/>
              </w:rPr>
              <w:t>Personnel files including records and notes of disciplinary and grievance hearings</w:t>
            </w:r>
          </w:p>
        </w:tc>
        <w:tc>
          <w:tcPr>
            <w:tcW w:w="2551" w:type="dxa"/>
            <w:hideMark/>
          </w:tcPr>
          <w:p w14:paraId="251CF111" w14:textId="77777777" w:rsidR="00203CE7" w:rsidRPr="00DA112E" w:rsidRDefault="00203CE7" w:rsidP="00150AA1">
            <w:pPr>
              <w:spacing w:after="15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DA112E">
              <w:rPr>
                <w:rFonts w:asciiTheme="minorHAnsi" w:hAnsiTheme="minorHAnsi" w:cs="Arial"/>
              </w:rPr>
              <w:t>6 years from the end of employment</w:t>
            </w:r>
          </w:p>
        </w:tc>
        <w:tc>
          <w:tcPr>
            <w:tcW w:w="3322" w:type="dxa"/>
            <w:hideMark/>
          </w:tcPr>
          <w:p w14:paraId="0F5839DE" w14:textId="77777777" w:rsidR="00203CE7" w:rsidRPr="00DA112E" w:rsidRDefault="00203CE7" w:rsidP="00150AA1">
            <w:pPr>
              <w:spacing w:after="15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DA112E">
              <w:rPr>
                <w:rFonts w:asciiTheme="minorHAnsi" w:hAnsiTheme="minorHAnsi" w:cs="Arial"/>
              </w:rPr>
              <w:t>Potential litigation and references</w:t>
            </w:r>
          </w:p>
        </w:tc>
      </w:tr>
      <w:tr w:rsidR="006A7DD2" w:rsidRPr="00DA112E" w14:paraId="4D43FF2E" w14:textId="77777777" w:rsidTr="006A7DD2">
        <w:tc>
          <w:tcPr>
            <w:cnfStyle w:val="001000000000" w:firstRow="0" w:lastRow="0" w:firstColumn="1" w:lastColumn="0" w:oddVBand="0" w:evenVBand="0" w:oddHBand="0" w:evenHBand="0" w:firstRowFirstColumn="0" w:firstRowLastColumn="0" w:lastRowFirstColumn="0" w:lastRowLastColumn="0"/>
            <w:tcW w:w="3369" w:type="dxa"/>
            <w:hideMark/>
          </w:tcPr>
          <w:p w14:paraId="6E9CEF8A" w14:textId="77777777" w:rsidR="00203CE7" w:rsidRPr="00DA112E" w:rsidRDefault="00203CE7" w:rsidP="00150AA1">
            <w:pPr>
              <w:spacing w:after="150"/>
              <w:jc w:val="center"/>
              <w:rPr>
                <w:rFonts w:asciiTheme="minorHAnsi" w:hAnsiTheme="minorHAnsi" w:cs="Arial"/>
              </w:rPr>
            </w:pPr>
            <w:r w:rsidRPr="00DA112E">
              <w:rPr>
                <w:rFonts w:asciiTheme="minorHAnsi" w:hAnsiTheme="minorHAnsi" w:cs="Arial"/>
              </w:rPr>
              <w:t>Application forms/interview notes (unsuccessful applicants)</w:t>
            </w:r>
          </w:p>
        </w:tc>
        <w:tc>
          <w:tcPr>
            <w:tcW w:w="2551" w:type="dxa"/>
            <w:hideMark/>
          </w:tcPr>
          <w:p w14:paraId="02F4E711" w14:textId="77777777" w:rsidR="00203CE7" w:rsidRPr="00DA112E" w:rsidRDefault="00203CE7" w:rsidP="00150AA1">
            <w:pPr>
              <w:spacing w:after="15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DA112E">
              <w:rPr>
                <w:rFonts w:asciiTheme="minorHAnsi" w:hAnsiTheme="minorHAnsi" w:cs="Arial"/>
              </w:rPr>
              <w:t>At least 6 months from the date of the interviews</w:t>
            </w:r>
          </w:p>
        </w:tc>
        <w:tc>
          <w:tcPr>
            <w:tcW w:w="3322" w:type="dxa"/>
            <w:hideMark/>
          </w:tcPr>
          <w:p w14:paraId="23E3B59C" w14:textId="77777777" w:rsidR="00203CE7" w:rsidRPr="00DA112E" w:rsidRDefault="00203CE7" w:rsidP="00150AA1">
            <w:pPr>
              <w:spacing w:after="15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DA112E">
              <w:rPr>
                <w:rFonts w:asciiTheme="minorHAnsi" w:hAnsiTheme="minorHAnsi" w:cs="Arial"/>
              </w:rPr>
              <w:t>Time limits on litigation</w:t>
            </w:r>
          </w:p>
        </w:tc>
      </w:tr>
      <w:tr w:rsidR="006A7DD2" w:rsidRPr="00DA112E" w14:paraId="61A8E873" w14:textId="77777777" w:rsidTr="006A7D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hideMark/>
          </w:tcPr>
          <w:p w14:paraId="20CF74DD" w14:textId="77777777" w:rsidR="00203CE7" w:rsidRPr="00DA112E" w:rsidRDefault="00203CE7" w:rsidP="00150AA1">
            <w:pPr>
              <w:spacing w:after="150"/>
              <w:jc w:val="center"/>
              <w:rPr>
                <w:rFonts w:asciiTheme="minorHAnsi" w:hAnsiTheme="minorHAnsi" w:cs="Arial"/>
              </w:rPr>
            </w:pPr>
            <w:r w:rsidRPr="00DA112E">
              <w:rPr>
                <w:rFonts w:asciiTheme="minorHAnsi" w:hAnsiTheme="minorHAnsi" w:cs="Arial"/>
              </w:rPr>
              <w:t>Facts relating to redundancies where less than 20</w:t>
            </w:r>
          </w:p>
        </w:tc>
        <w:tc>
          <w:tcPr>
            <w:tcW w:w="2551" w:type="dxa"/>
            <w:hideMark/>
          </w:tcPr>
          <w:p w14:paraId="24C82B68" w14:textId="77777777" w:rsidR="00203CE7" w:rsidRPr="00DA112E" w:rsidRDefault="00203CE7" w:rsidP="00150AA1">
            <w:pPr>
              <w:spacing w:after="15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DA112E">
              <w:rPr>
                <w:rFonts w:asciiTheme="minorHAnsi" w:hAnsiTheme="minorHAnsi" w:cs="Arial"/>
              </w:rPr>
              <w:t>6 years from the date of the redundancy</w:t>
            </w:r>
          </w:p>
        </w:tc>
        <w:tc>
          <w:tcPr>
            <w:tcW w:w="3322" w:type="dxa"/>
            <w:hideMark/>
          </w:tcPr>
          <w:p w14:paraId="688A378B" w14:textId="77777777" w:rsidR="00203CE7" w:rsidRPr="00DA112E" w:rsidRDefault="00203CE7" w:rsidP="00150AA1">
            <w:pPr>
              <w:spacing w:after="15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DA112E">
              <w:rPr>
                <w:rFonts w:asciiTheme="minorHAnsi" w:hAnsiTheme="minorHAnsi" w:cs="Arial"/>
              </w:rPr>
              <w:t>Time limits on litigation</w:t>
            </w:r>
          </w:p>
        </w:tc>
      </w:tr>
      <w:tr w:rsidR="006A7DD2" w:rsidRPr="00DA112E" w14:paraId="677C5571" w14:textId="77777777" w:rsidTr="006A7DD2">
        <w:tc>
          <w:tcPr>
            <w:cnfStyle w:val="001000000000" w:firstRow="0" w:lastRow="0" w:firstColumn="1" w:lastColumn="0" w:oddVBand="0" w:evenVBand="0" w:oddHBand="0" w:evenHBand="0" w:firstRowFirstColumn="0" w:firstRowLastColumn="0" w:lastRowFirstColumn="0" w:lastRowLastColumn="0"/>
            <w:tcW w:w="3369" w:type="dxa"/>
            <w:hideMark/>
          </w:tcPr>
          <w:p w14:paraId="2C395B57" w14:textId="77777777" w:rsidR="00203CE7" w:rsidRPr="00DA112E" w:rsidRDefault="00203CE7" w:rsidP="00150AA1">
            <w:pPr>
              <w:spacing w:after="150"/>
              <w:jc w:val="center"/>
              <w:rPr>
                <w:rFonts w:asciiTheme="minorHAnsi" w:hAnsiTheme="minorHAnsi" w:cs="Arial"/>
              </w:rPr>
            </w:pPr>
            <w:r w:rsidRPr="00DA112E">
              <w:rPr>
                <w:rFonts w:asciiTheme="minorHAnsi" w:hAnsiTheme="minorHAnsi" w:cs="Arial"/>
              </w:rPr>
              <w:t>Accident books, accident records/reports</w:t>
            </w:r>
          </w:p>
        </w:tc>
        <w:tc>
          <w:tcPr>
            <w:tcW w:w="2551" w:type="dxa"/>
            <w:hideMark/>
          </w:tcPr>
          <w:p w14:paraId="1696E581" w14:textId="77777777" w:rsidR="00203CE7" w:rsidRPr="00DA112E" w:rsidRDefault="00203CE7" w:rsidP="00150AA1">
            <w:pPr>
              <w:spacing w:after="15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DA112E">
              <w:rPr>
                <w:rFonts w:asciiTheme="minorHAnsi" w:hAnsiTheme="minorHAnsi" w:cs="Arial"/>
              </w:rPr>
              <w:t>3 years after the date of the last entry (see below for accidents involving chemicals or asbestos)</w:t>
            </w:r>
          </w:p>
        </w:tc>
        <w:tc>
          <w:tcPr>
            <w:tcW w:w="3322" w:type="dxa"/>
            <w:hideMark/>
          </w:tcPr>
          <w:p w14:paraId="4C60792E" w14:textId="77777777" w:rsidR="00203CE7" w:rsidRPr="00DA112E" w:rsidRDefault="00203CE7" w:rsidP="00150AA1">
            <w:pPr>
              <w:spacing w:after="15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DA112E">
              <w:rPr>
                <w:rFonts w:asciiTheme="minorHAnsi" w:hAnsiTheme="minorHAnsi" w:cs="Arial"/>
              </w:rPr>
              <w:t>The Reporting of Injuries, Diseases and Dangerous Occurrences Regulations 1995 (RIDDOR) (amended April 2012)</w:t>
            </w:r>
            <w:r w:rsidRPr="00DA112E">
              <w:rPr>
                <w:rFonts w:asciiTheme="minorHAnsi" w:hAnsiTheme="minorHAnsi" w:cs="Arial"/>
              </w:rPr>
              <w:br/>
              <w:t>(SI 1995/3163) as amended</w:t>
            </w:r>
          </w:p>
        </w:tc>
      </w:tr>
      <w:tr w:rsidR="006A7DD2" w:rsidRPr="00DA112E" w14:paraId="19C9C0DF" w14:textId="77777777" w:rsidTr="006A7D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hideMark/>
          </w:tcPr>
          <w:p w14:paraId="579F7971" w14:textId="77777777" w:rsidR="00203CE7" w:rsidRPr="00DA112E" w:rsidRDefault="00203CE7" w:rsidP="00150AA1">
            <w:pPr>
              <w:spacing w:after="150"/>
              <w:jc w:val="center"/>
              <w:rPr>
                <w:rFonts w:asciiTheme="minorHAnsi" w:hAnsiTheme="minorHAnsi" w:cs="Arial"/>
              </w:rPr>
            </w:pPr>
            <w:r w:rsidRPr="00DA112E">
              <w:rPr>
                <w:rFonts w:asciiTheme="minorHAnsi" w:hAnsiTheme="minorHAnsi" w:cs="Arial"/>
              </w:rPr>
              <w:t>Accounting records</w:t>
            </w:r>
          </w:p>
        </w:tc>
        <w:tc>
          <w:tcPr>
            <w:tcW w:w="2551" w:type="dxa"/>
            <w:hideMark/>
          </w:tcPr>
          <w:p w14:paraId="59617F25" w14:textId="016CF781" w:rsidR="00203CE7" w:rsidRPr="00DA112E" w:rsidRDefault="00203CE7" w:rsidP="00150AA1">
            <w:pPr>
              <w:spacing w:after="15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DA112E">
              <w:rPr>
                <w:rFonts w:asciiTheme="minorHAnsi" w:hAnsiTheme="minorHAnsi" w:cs="Arial"/>
              </w:rPr>
              <w:t>6 years for public limited companies</w:t>
            </w:r>
            <w:r w:rsidR="00237F97" w:rsidRPr="00DA112E">
              <w:rPr>
                <w:rFonts w:asciiTheme="minorHAnsi" w:hAnsiTheme="minorHAnsi" w:cs="Arial"/>
              </w:rPr>
              <w:t xml:space="preserve"> (unless specified otherwise)</w:t>
            </w:r>
          </w:p>
        </w:tc>
        <w:tc>
          <w:tcPr>
            <w:tcW w:w="3322" w:type="dxa"/>
            <w:hideMark/>
          </w:tcPr>
          <w:p w14:paraId="023CEAA1" w14:textId="77777777" w:rsidR="00203CE7" w:rsidRPr="00DA112E" w:rsidRDefault="00203CE7" w:rsidP="00150AA1">
            <w:pPr>
              <w:spacing w:after="15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DA112E">
              <w:rPr>
                <w:rFonts w:asciiTheme="minorHAnsi" w:hAnsiTheme="minorHAnsi" w:cs="Arial"/>
              </w:rPr>
              <w:t>Section 221 of the Companies Act 1985 as modified by the Companies Acts 1989 and 2006</w:t>
            </w:r>
          </w:p>
        </w:tc>
      </w:tr>
      <w:tr w:rsidR="006A7DD2" w:rsidRPr="00DA112E" w14:paraId="657C8B56" w14:textId="77777777" w:rsidTr="006A7DD2">
        <w:tc>
          <w:tcPr>
            <w:cnfStyle w:val="001000000000" w:firstRow="0" w:lastRow="0" w:firstColumn="1" w:lastColumn="0" w:oddVBand="0" w:evenVBand="0" w:oddHBand="0" w:evenHBand="0" w:firstRowFirstColumn="0" w:firstRowLastColumn="0" w:lastRowFirstColumn="0" w:lastRowLastColumn="0"/>
            <w:tcW w:w="3369" w:type="dxa"/>
            <w:hideMark/>
          </w:tcPr>
          <w:p w14:paraId="37DEA2EE" w14:textId="77777777" w:rsidR="00203CE7" w:rsidRPr="00DA112E" w:rsidRDefault="00203CE7" w:rsidP="00150AA1">
            <w:pPr>
              <w:spacing w:after="150"/>
              <w:jc w:val="center"/>
              <w:rPr>
                <w:rFonts w:asciiTheme="minorHAnsi" w:hAnsiTheme="minorHAnsi" w:cs="Arial"/>
              </w:rPr>
            </w:pPr>
            <w:r w:rsidRPr="00DA112E">
              <w:rPr>
                <w:rFonts w:asciiTheme="minorHAnsi" w:hAnsiTheme="minorHAnsi" w:cs="Arial"/>
              </w:rPr>
              <w:t>Income tax and NI returns, income tax records and correspondence with HMRC</w:t>
            </w:r>
          </w:p>
        </w:tc>
        <w:tc>
          <w:tcPr>
            <w:tcW w:w="2551" w:type="dxa"/>
            <w:hideMark/>
          </w:tcPr>
          <w:p w14:paraId="3710AE3C" w14:textId="77777777" w:rsidR="00203CE7" w:rsidRPr="00DA112E" w:rsidRDefault="00203CE7" w:rsidP="00150AA1">
            <w:pPr>
              <w:spacing w:after="15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DA112E">
              <w:rPr>
                <w:rFonts w:asciiTheme="minorHAnsi" w:hAnsiTheme="minorHAnsi" w:cs="Arial"/>
              </w:rPr>
              <w:t>Not less than 3 years after the end of the financial year to which they relate</w:t>
            </w:r>
          </w:p>
        </w:tc>
        <w:tc>
          <w:tcPr>
            <w:tcW w:w="3322" w:type="dxa"/>
            <w:hideMark/>
          </w:tcPr>
          <w:p w14:paraId="510C4C88" w14:textId="77777777" w:rsidR="00203CE7" w:rsidRPr="00DA112E" w:rsidRDefault="00203CE7" w:rsidP="00150AA1">
            <w:pPr>
              <w:spacing w:after="15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DA112E">
              <w:rPr>
                <w:rFonts w:asciiTheme="minorHAnsi" w:hAnsiTheme="minorHAnsi" w:cs="Arial"/>
              </w:rPr>
              <w:t xml:space="preserve">The Income Tax (Employments) Regulations 1993 </w:t>
            </w:r>
            <w:r w:rsidRPr="00DA112E">
              <w:rPr>
                <w:rFonts w:asciiTheme="minorHAnsi" w:hAnsiTheme="minorHAnsi" w:cs="Arial"/>
              </w:rPr>
              <w:br/>
              <w:t>(SI 1993/744) as amended, for example by The Income Tax (Employments) (Amendment No. 6) Regulations 1996 (SI 1996/2631)</w:t>
            </w:r>
          </w:p>
        </w:tc>
      </w:tr>
      <w:tr w:rsidR="006A7DD2" w:rsidRPr="00DA112E" w14:paraId="0BF8F9F1" w14:textId="77777777" w:rsidTr="006A7D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hideMark/>
          </w:tcPr>
          <w:p w14:paraId="66E15EAB" w14:textId="77777777" w:rsidR="00203CE7" w:rsidRPr="00DA112E" w:rsidRDefault="00203CE7" w:rsidP="00150AA1">
            <w:pPr>
              <w:jc w:val="center"/>
              <w:rPr>
                <w:rFonts w:asciiTheme="minorHAnsi" w:hAnsiTheme="minorHAnsi" w:cs="Arial"/>
              </w:rPr>
            </w:pPr>
            <w:r w:rsidRPr="00DA112E">
              <w:rPr>
                <w:rFonts w:asciiTheme="minorHAnsi" w:hAnsiTheme="minorHAnsi" w:cs="Arial"/>
              </w:rPr>
              <w:t>Retirement Benefits Schemes – records of notifiable events, for example, relating to incapacity</w:t>
            </w:r>
          </w:p>
        </w:tc>
        <w:tc>
          <w:tcPr>
            <w:tcW w:w="2551" w:type="dxa"/>
            <w:hideMark/>
          </w:tcPr>
          <w:p w14:paraId="41581750" w14:textId="77777777" w:rsidR="00203CE7" w:rsidRPr="00DA112E" w:rsidRDefault="00203CE7" w:rsidP="00150AA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DA112E">
              <w:rPr>
                <w:rFonts w:asciiTheme="minorHAnsi" w:hAnsiTheme="minorHAnsi" w:cs="Arial"/>
              </w:rPr>
              <w:t>6 years from the end of the scheme year in which the event took place</w:t>
            </w:r>
          </w:p>
        </w:tc>
        <w:tc>
          <w:tcPr>
            <w:tcW w:w="3322" w:type="dxa"/>
            <w:hideMark/>
          </w:tcPr>
          <w:p w14:paraId="0F7F333F" w14:textId="77777777" w:rsidR="00203CE7" w:rsidRPr="00DA112E" w:rsidRDefault="00203CE7" w:rsidP="00150AA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DA112E">
              <w:rPr>
                <w:rFonts w:asciiTheme="minorHAnsi" w:hAnsiTheme="minorHAnsi" w:cs="Arial"/>
              </w:rPr>
              <w:t xml:space="preserve">The Retirement Benefits Schemes (Information Powers) Regulations 1995 </w:t>
            </w:r>
            <w:r w:rsidRPr="00DA112E">
              <w:rPr>
                <w:rFonts w:asciiTheme="minorHAnsi" w:hAnsiTheme="minorHAnsi" w:cs="Arial"/>
              </w:rPr>
              <w:br/>
              <w:t>(SI 1995/3103)</w:t>
            </w:r>
          </w:p>
        </w:tc>
      </w:tr>
      <w:tr w:rsidR="006A7DD2" w:rsidRPr="00DA112E" w14:paraId="674D512C" w14:textId="77777777" w:rsidTr="006A7DD2">
        <w:tc>
          <w:tcPr>
            <w:cnfStyle w:val="001000000000" w:firstRow="0" w:lastRow="0" w:firstColumn="1" w:lastColumn="0" w:oddVBand="0" w:evenVBand="0" w:oddHBand="0" w:evenHBand="0" w:firstRowFirstColumn="0" w:firstRowLastColumn="0" w:lastRowFirstColumn="0" w:lastRowLastColumn="0"/>
            <w:tcW w:w="3369" w:type="dxa"/>
            <w:hideMark/>
          </w:tcPr>
          <w:p w14:paraId="15CA9063" w14:textId="77777777" w:rsidR="00203CE7" w:rsidRPr="00DA112E" w:rsidRDefault="00203CE7" w:rsidP="00150AA1">
            <w:pPr>
              <w:jc w:val="center"/>
              <w:rPr>
                <w:rFonts w:asciiTheme="minorHAnsi" w:hAnsiTheme="minorHAnsi" w:cs="Arial"/>
              </w:rPr>
            </w:pPr>
            <w:r w:rsidRPr="00DA112E">
              <w:rPr>
                <w:rFonts w:asciiTheme="minorHAnsi" w:hAnsiTheme="minorHAnsi" w:cs="Arial"/>
              </w:rPr>
              <w:lastRenderedPageBreak/>
              <w:t xml:space="preserve">Statutory Maternity Pay records, calculations, certificates (Mat B1s) or other medical </w:t>
            </w:r>
          </w:p>
          <w:p w14:paraId="70419474" w14:textId="77777777" w:rsidR="00203CE7" w:rsidRPr="00DA112E" w:rsidRDefault="00203CE7" w:rsidP="00150AA1">
            <w:pPr>
              <w:jc w:val="center"/>
              <w:rPr>
                <w:rFonts w:asciiTheme="minorHAnsi" w:hAnsiTheme="minorHAnsi" w:cs="Arial"/>
              </w:rPr>
            </w:pPr>
            <w:r w:rsidRPr="00DA112E">
              <w:rPr>
                <w:rFonts w:asciiTheme="minorHAnsi" w:hAnsiTheme="minorHAnsi" w:cs="Arial"/>
              </w:rPr>
              <w:t>evidence</w:t>
            </w:r>
          </w:p>
        </w:tc>
        <w:tc>
          <w:tcPr>
            <w:tcW w:w="2551" w:type="dxa"/>
            <w:hideMark/>
          </w:tcPr>
          <w:p w14:paraId="11ED12B5" w14:textId="77777777" w:rsidR="00203CE7" w:rsidRPr="00DA112E" w:rsidRDefault="00203CE7" w:rsidP="00150AA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DA112E">
              <w:rPr>
                <w:rFonts w:asciiTheme="minorHAnsi" w:hAnsiTheme="minorHAnsi" w:cs="Arial"/>
              </w:rPr>
              <w:t>3 years after the end of the tax year in which the maternity period ends</w:t>
            </w:r>
          </w:p>
        </w:tc>
        <w:tc>
          <w:tcPr>
            <w:tcW w:w="3322" w:type="dxa"/>
            <w:hideMark/>
          </w:tcPr>
          <w:p w14:paraId="07EC069F" w14:textId="77777777" w:rsidR="00203CE7" w:rsidRPr="00DA112E" w:rsidRDefault="00203CE7" w:rsidP="00150AA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DA112E">
              <w:rPr>
                <w:rFonts w:asciiTheme="minorHAnsi" w:hAnsiTheme="minorHAnsi" w:cs="Arial"/>
              </w:rPr>
              <w:t xml:space="preserve">The Statutory Maternity Pay (General) Regulations 1986 </w:t>
            </w:r>
            <w:r w:rsidRPr="00DA112E">
              <w:rPr>
                <w:rFonts w:asciiTheme="minorHAnsi" w:hAnsiTheme="minorHAnsi" w:cs="Arial"/>
              </w:rPr>
              <w:br/>
              <w:t>(SI 1986/1960) (Amendment 2005) as amended</w:t>
            </w:r>
          </w:p>
        </w:tc>
      </w:tr>
      <w:tr w:rsidR="006A7DD2" w:rsidRPr="00DA112E" w14:paraId="77D875A3" w14:textId="77777777" w:rsidTr="006A7D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hideMark/>
          </w:tcPr>
          <w:p w14:paraId="6E1D3606" w14:textId="77777777" w:rsidR="00203CE7" w:rsidRPr="00DA112E" w:rsidRDefault="00203CE7" w:rsidP="00150AA1">
            <w:pPr>
              <w:jc w:val="center"/>
              <w:rPr>
                <w:rFonts w:asciiTheme="minorHAnsi" w:hAnsiTheme="minorHAnsi" w:cs="Arial"/>
              </w:rPr>
            </w:pPr>
            <w:r w:rsidRPr="00DA112E">
              <w:rPr>
                <w:rFonts w:asciiTheme="minorHAnsi" w:hAnsiTheme="minorHAnsi" w:cs="Arial"/>
              </w:rPr>
              <w:t>Statutory Sick Pay records, calculations, certificates, self-certificates</w:t>
            </w:r>
          </w:p>
        </w:tc>
        <w:tc>
          <w:tcPr>
            <w:tcW w:w="2551" w:type="dxa"/>
            <w:hideMark/>
          </w:tcPr>
          <w:p w14:paraId="37F97FBF" w14:textId="77777777" w:rsidR="00203CE7" w:rsidRPr="00DA112E" w:rsidRDefault="00203CE7" w:rsidP="00150AA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DA112E">
              <w:rPr>
                <w:rFonts w:asciiTheme="minorHAnsi" w:hAnsiTheme="minorHAnsi" w:cs="Arial"/>
              </w:rPr>
              <w:t>3 years after the End of the tax year to which they relate</w:t>
            </w:r>
          </w:p>
        </w:tc>
        <w:tc>
          <w:tcPr>
            <w:tcW w:w="3322" w:type="dxa"/>
            <w:hideMark/>
          </w:tcPr>
          <w:p w14:paraId="6482E0F3" w14:textId="77777777" w:rsidR="00203CE7" w:rsidRPr="00DA112E" w:rsidRDefault="00203CE7" w:rsidP="00150AA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DA112E">
              <w:rPr>
                <w:rFonts w:asciiTheme="minorHAnsi" w:hAnsiTheme="minorHAnsi" w:cs="Arial"/>
              </w:rPr>
              <w:t>The Statutory Sick Pay (General) (Amendment) Regulations 2008</w:t>
            </w:r>
            <w:r w:rsidRPr="00DA112E">
              <w:rPr>
                <w:rFonts w:asciiTheme="minorHAnsi" w:hAnsiTheme="minorHAnsi" w:cs="Arial"/>
              </w:rPr>
              <w:br/>
            </w:r>
          </w:p>
        </w:tc>
      </w:tr>
      <w:tr w:rsidR="006A7DD2" w:rsidRPr="00DA112E" w14:paraId="1170564F" w14:textId="77777777" w:rsidTr="006A7DD2">
        <w:tc>
          <w:tcPr>
            <w:cnfStyle w:val="001000000000" w:firstRow="0" w:lastRow="0" w:firstColumn="1" w:lastColumn="0" w:oddVBand="0" w:evenVBand="0" w:oddHBand="0" w:evenHBand="0" w:firstRowFirstColumn="0" w:firstRowLastColumn="0" w:lastRowFirstColumn="0" w:lastRowLastColumn="0"/>
            <w:tcW w:w="3369" w:type="dxa"/>
            <w:hideMark/>
          </w:tcPr>
          <w:p w14:paraId="310BB86A" w14:textId="77777777" w:rsidR="00203CE7" w:rsidRPr="00DA112E" w:rsidRDefault="00203CE7" w:rsidP="00150AA1">
            <w:pPr>
              <w:jc w:val="center"/>
              <w:rPr>
                <w:rFonts w:asciiTheme="minorHAnsi" w:hAnsiTheme="minorHAnsi" w:cs="Arial"/>
              </w:rPr>
            </w:pPr>
            <w:r w:rsidRPr="00DA112E">
              <w:rPr>
                <w:rFonts w:asciiTheme="minorHAnsi" w:hAnsiTheme="minorHAnsi" w:cs="Arial"/>
              </w:rPr>
              <w:t>Wage/salary records (also overtime, bonuses, expenses)</w:t>
            </w:r>
          </w:p>
        </w:tc>
        <w:tc>
          <w:tcPr>
            <w:tcW w:w="2551" w:type="dxa"/>
            <w:hideMark/>
          </w:tcPr>
          <w:p w14:paraId="71F3649B" w14:textId="77777777" w:rsidR="00203CE7" w:rsidRPr="00DA112E" w:rsidRDefault="00203CE7" w:rsidP="00150AA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DA112E">
              <w:rPr>
                <w:rFonts w:asciiTheme="minorHAnsi" w:hAnsiTheme="minorHAnsi" w:cs="Arial"/>
              </w:rPr>
              <w:t>6 years</w:t>
            </w:r>
          </w:p>
        </w:tc>
        <w:tc>
          <w:tcPr>
            <w:tcW w:w="3322" w:type="dxa"/>
            <w:hideMark/>
          </w:tcPr>
          <w:p w14:paraId="7B1B659A" w14:textId="77777777" w:rsidR="00203CE7" w:rsidRPr="00DA112E" w:rsidRDefault="00203CE7" w:rsidP="00150AA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DA112E">
              <w:rPr>
                <w:rFonts w:asciiTheme="minorHAnsi" w:hAnsiTheme="minorHAnsi" w:cs="Arial"/>
              </w:rPr>
              <w:t>Taxes Management Act 1970</w:t>
            </w:r>
          </w:p>
        </w:tc>
      </w:tr>
      <w:tr w:rsidR="006A7DD2" w:rsidRPr="00DA112E" w14:paraId="486466FD" w14:textId="77777777" w:rsidTr="006A7D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hideMark/>
          </w:tcPr>
          <w:p w14:paraId="66DFD25A" w14:textId="77777777" w:rsidR="00203CE7" w:rsidRPr="00DA112E" w:rsidRDefault="00203CE7" w:rsidP="00150AA1">
            <w:pPr>
              <w:jc w:val="center"/>
              <w:rPr>
                <w:rFonts w:asciiTheme="minorHAnsi" w:hAnsiTheme="minorHAnsi" w:cs="Arial"/>
              </w:rPr>
            </w:pPr>
            <w:r w:rsidRPr="00DA112E">
              <w:rPr>
                <w:rFonts w:asciiTheme="minorHAnsi" w:hAnsiTheme="minorHAnsi" w:cs="Arial"/>
              </w:rPr>
              <w:t>National minimum wage records</w:t>
            </w:r>
          </w:p>
        </w:tc>
        <w:tc>
          <w:tcPr>
            <w:tcW w:w="2551" w:type="dxa"/>
            <w:hideMark/>
          </w:tcPr>
          <w:p w14:paraId="0807826F" w14:textId="77777777" w:rsidR="00203CE7" w:rsidRPr="00DA112E" w:rsidRDefault="00203CE7" w:rsidP="00150AA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DA112E">
              <w:rPr>
                <w:rFonts w:asciiTheme="minorHAnsi" w:hAnsiTheme="minorHAnsi" w:cs="Arial"/>
              </w:rPr>
              <w:t>3 years after the end of the pay reference period following the one that the records cover</w:t>
            </w:r>
          </w:p>
        </w:tc>
        <w:tc>
          <w:tcPr>
            <w:tcW w:w="3322" w:type="dxa"/>
            <w:hideMark/>
          </w:tcPr>
          <w:p w14:paraId="15591DB1" w14:textId="77777777" w:rsidR="00203CE7" w:rsidRPr="00DA112E" w:rsidRDefault="00203CE7" w:rsidP="00150AA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DA112E">
              <w:rPr>
                <w:rFonts w:asciiTheme="minorHAnsi" w:hAnsiTheme="minorHAnsi" w:cs="Arial"/>
              </w:rPr>
              <w:t>National Minimum Wage (Amendment) Regulations 2011</w:t>
            </w:r>
          </w:p>
        </w:tc>
      </w:tr>
      <w:tr w:rsidR="006A7DD2" w:rsidRPr="00DA112E" w14:paraId="2C4E1D04" w14:textId="77777777" w:rsidTr="006A7DD2">
        <w:tc>
          <w:tcPr>
            <w:cnfStyle w:val="001000000000" w:firstRow="0" w:lastRow="0" w:firstColumn="1" w:lastColumn="0" w:oddVBand="0" w:evenVBand="0" w:oddHBand="0" w:evenHBand="0" w:firstRowFirstColumn="0" w:firstRowLastColumn="0" w:lastRowFirstColumn="0" w:lastRowLastColumn="0"/>
            <w:tcW w:w="3369" w:type="dxa"/>
            <w:hideMark/>
          </w:tcPr>
          <w:p w14:paraId="6254A659" w14:textId="77777777" w:rsidR="00203CE7" w:rsidRPr="00DA112E" w:rsidRDefault="00203CE7" w:rsidP="00150AA1">
            <w:pPr>
              <w:jc w:val="center"/>
              <w:rPr>
                <w:rFonts w:asciiTheme="minorHAnsi" w:hAnsiTheme="minorHAnsi" w:cs="Arial"/>
              </w:rPr>
            </w:pPr>
            <w:r w:rsidRPr="00DA112E">
              <w:rPr>
                <w:rFonts w:asciiTheme="minorHAnsi" w:hAnsiTheme="minorHAnsi" w:cs="Arial"/>
              </w:rPr>
              <w:t>Records relating to working time</w:t>
            </w:r>
          </w:p>
        </w:tc>
        <w:tc>
          <w:tcPr>
            <w:tcW w:w="2551" w:type="dxa"/>
            <w:hideMark/>
          </w:tcPr>
          <w:p w14:paraId="1D92E417" w14:textId="77777777" w:rsidR="00203CE7" w:rsidRPr="00DA112E" w:rsidRDefault="00203CE7" w:rsidP="00150AA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DA112E">
              <w:rPr>
                <w:rFonts w:asciiTheme="minorHAnsi" w:hAnsiTheme="minorHAnsi" w:cs="Arial"/>
              </w:rPr>
              <w:t>2 years from date on which they were made</w:t>
            </w:r>
          </w:p>
        </w:tc>
        <w:tc>
          <w:tcPr>
            <w:tcW w:w="3322" w:type="dxa"/>
            <w:hideMark/>
          </w:tcPr>
          <w:p w14:paraId="23524806" w14:textId="77777777" w:rsidR="00203CE7" w:rsidRPr="00DA112E" w:rsidRDefault="00203CE7" w:rsidP="00150AA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DA112E">
              <w:rPr>
                <w:rFonts w:asciiTheme="minorHAnsi" w:hAnsiTheme="minorHAnsi" w:cs="Arial"/>
              </w:rPr>
              <w:t>The Working Time Regulations 1998 (SI 1998/1833)</w:t>
            </w:r>
          </w:p>
          <w:p w14:paraId="57A29B50" w14:textId="77777777" w:rsidR="00203CE7" w:rsidRPr="00DA112E" w:rsidRDefault="00203CE7" w:rsidP="00150AA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DA112E">
              <w:rPr>
                <w:rFonts w:asciiTheme="minorHAnsi" w:hAnsiTheme="minorHAnsi" w:cs="Arial"/>
              </w:rPr>
              <w:t xml:space="preserve">Working Time Regulations (Amendment) Regulations 2009 </w:t>
            </w:r>
          </w:p>
        </w:tc>
      </w:tr>
    </w:tbl>
    <w:p w14:paraId="5366FA7B" w14:textId="77777777" w:rsidR="00203CE7" w:rsidRPr="00DA112E" w:rsidRDefault="00203CE7" w:rsidP="00203CE7">
      <w:pPr>
        <w:rPr>
          <w:rFonts w:asciiTheme="minorHAnsi" w:hAnsiTheme="minorHAnsi"/>
          <w:b/>
        </w:rPr>
      </w:pPr>
    </w:p>
    <w:p w14:paraId="2EE92595" w14:textId="77777777" w:rsidR="00203CE7" w:rsidRPr="00DA112E" w:rsidRDefault="00203CE7" w:rsidP="00203CE7">
      <w:pPr>
        <w:rPr>
          <w:rFonts w:asciiTheme="minorHAnsi" w:hAnsiTheme="minorHAnsi" w:cs="Arial"/>
        </w:rPr>
      </w:pPr>
    </w:p>
    <w:p w14:paraId="23DB600B" w14:textId="4D645DDB" w:rsidR="00203CE7" w:rsidRPr="00DA112E" w:rsidRDefault="00203CE7" w:rsidP="5D5CA363">
      <w:pPr>
        <w:rPr>
          <w:rFonts w:asciiTheme="minorHAnsi" w:hAnsiTheme="minorHAnsi"/>
        </w:rPr>
      </w:pPr>
    </w:p>
    <w:sectPr w:rsidR="00203CE7" w:rsidRPr="00DA112E" w:rsidSect="004E0BD3">
      <w:headerReference w:type="default" r:id="rId7"/>
      <w:footerReference w:type="default" r:id="rId8"/>
      <w:pgSz w:w="11906" w:h="16838"/>
      <w:pgMar w:top="838" w:right="1440" w:bottom="118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36363" w14:textId="77777777" w:rsidR="004E0BD3" w:rsidRDefault="004E0BD3" w:rsidP="00203CE7">
      <w:r>
        <w:separator/>
      </w:r>
    </w:p>
  </w:endnote>
  <w:endnote w:type="continuationSeparator" w:id="0">
    <w:p w14:paraId="48036D53" w14:textId="77777777" w:rsidR="004E0BD3" w:rsidRDefault="004E0BD3" w:rsidP="00203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6188187"/>
      <w:docPartObj>
        <w:docPartGallery w:val="Page Numbers (Bottom of Page)"/>
        <w:docPartUnique/>
      </w:docPartObj>
    </w:sdtPr>
    <w:sdtContent>
      <w:sdt>
        <w:sdtPr>
          <w:id w:val="860082579"/>
          <w:docPartObj>
            <w:docPartGallery w:val="Page Numbers (Top of Page)"/>
            <w:docPartUnique/>
          </w:docPartObj>
        </w:sdtPr>
        <w:sdtContent>
          <w:p w14:paraId="78D3EAB8" w14:textId="2B0DF9F5" w:rsidR="00E91A26" w:rsidRDefault="00E91A26">
            <w:pPr>
              <w:pStyle w:val="Footer"/>
              <w:jc w:val="right"/>
            </w:pPr>
            <w:r w:rsidRPr="00734EBC">
              <w:rPr>
                <w:rFonts w:asciiTheme="minorHAnsi" w:hAnsiTheme="minorHAnsi" w:cstheme="minorHAnsi"/>
              </w:rPr>
              <w:t xml:space="preserve">Page </w:t>
            </w:r>
            <w:r w:rsidRPr="00734EBC">
              <w:rPr>
                <w:rFonts w:asciiTheme="minorHAnsi" w:hAnsiTheme="minorHAnsi" w:cstheme="minorHAnsi"/>
                <w:b/>
                <w:bCs/>
              </w:rPr>
              <w:fldChar w:fldCharType="begin"/>
            </w:r>
            <w:r w:rsidRPr="00734EBC">
              <w:rPr>
                <w:rFonts w:asciiTheme="minorHAnsi" w:hAnsiTheme="minorHAnsi" w:cstheme="minorHAnsi"/>
                <w:b/>
                <w:bCs/>
              </w:rPr>
              <w:instrText xml:space="preserve"> PAGE </w:instrText>
            </w:r>
            <w:r w:rsidRPr="00734EBC">
              <w:rPr>
                <w:rFonts w:asciiTheme="minorHAnsi" w:hAnsiTheme="minorHAnsi" w:cstheme="minorHAnsi"/>
                <w:b/>
                <w:bCs/>
              </w:rPr>
              <w:fldChar w:fldCharType="separate"/>
            </w:r>
            <w:r w:rsidR="00DA112E" w:rsidRPr="00734EBC">
              <w:rPr>
                <w:rFonts w:asciiTheme="minorHAnsi" w:hAnsiTheme="minorHAnsi" w:cstheme="minorHAnsi"/>
                <w:b/>
                <w:bCs/>
                <w:noProof/>
              </w:rPr>
              <w:t>7</w:t>
            </w:r>
            <w:r w:rsidRPr="00734EBC">
              <w:rPr>
                <w:rFonts w:asciiTheme="minorHAnsi" w:hAnsiTheme="minorHAnsi" w:cstheme="minorHAnsi"/>
                <w:b/>
                <w:bCs/>
              </w:rPr>
              <w:fldChar w:fldCharType="end"/>
            </w:r>
            <w:r w:rsidRPr="00734EBC">
              <w:rPr>
                <w:rFonts w:asciiTheme="minorHAnsi" w:hAnsiTheme="minorHAnsi" w:cstheme="minorHAnsi"/>
              </w:rPr>
              <w:t xml:space="preserve"> of </w:t>
            </w:r>
            <w:r w:rsidRPr="00734EBC">
              <w:rPr>
                <w:rFonts w:asciiTheme="minorHAnsi" w:hAnsiTheme="minorHAnsi" w:cstheme="minorHAnsi"/>
                <w:b/>
                <w:bCs/>
              </w:rPr>
              <w:fldChar w:fldCharType="begin"/>
            </w:r>
            <w:r w:rsidRPr="00734EBC">
              <w:rPr>
                <w:rFonts w:asciiTheme="minorHAnsi" w:hAnsiTheme="minorHAnsi" w:cstheme="minorHAnsi"/>
                <w:b/>
                <w:bCs/>
              </w:rPr>
              <w:instrText xml:space="preserve"> NUMPAGES  </w:instrText>
            </w:r>
            <w:r w:rsidRPr="00734EBC">
              <w:rPr>
                <w:rFonts w:asciiTheme="minorHAnsi" w:hAnsiTheme="minorHAnsi" w:cstheme="minorHAnsi"/>
                <w:b/>
                <w:bCs/>
              </w:rPr>
              <w:fldChar w:fldCharType="separate"/>
            </w:r>
            <w:r w:rsidR="00DA112E" w:rsidRPr="00734EBC">
              <w:rPr>
                <w:rFonts w:asciiTheme="minorHAnsi" w:hAnsiTheme="minorHAnsi" w:cstheme="minorHAnsi"/>
                <w:b/>
                <w:bCs/>
                <w:noProof/>
              </w:rPr>
              <w:t>7</w:t>
            </w:r>
            <w:r w:rsidRPr="00734EBC">
              <w:rPr>
                <w:rFonts w:asciiTheme="minorHAnsi" w:hAnsiTheme="minorHAnsi" w:cstheme="minorHAnsi"/>
                <w:b/>
                <w:bCs/>
              </w:rPr>
              <w:fldChar w:fldCharType="end"/>
            </w:r>
          </w:p>
        </w:sdtContent>
      </w:sdt>
    </w:sdtContent>
  </w:sdt>
  <w:p w14:paraId="5410A488" w14:textId="77777777" w:rsidR="00E91A26" w:rsidRDefault="00E91A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5001E" w14:textId="77777777" w:rsidR="004E0BD3" w:rsidRDefault="004E0BD3" w:rsidP="00203CE7">
      <w:r>
        <w:separator/>
      </w:r>
    </w:p>
  </w:footnote>
  <w:footnote w:type="continuationSeparator" w:id="0">
    <w:p w14:paraId="45D2C550" w14:textId="77777777" w:rsidR="004E0BD3" w:rsidRDefault="004E0BD3" w:rsidP="00203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D614A" w14:textId="6583B8BC" w:rsidR="00734EBC" w:rsidRDefault="00570777">
    <w:pPr>
      <w:pStyle w:val="Header"/>
    </w:pPr>
    <w:r w:rsidRPr="00DA112E">
      <w:rPr>
        <w:rFonts w:asciiTheme="minorHAnsi" w:hAnsiTheme="minorHAnsi" w:cs="Arial"/>
        <w:noProof/>
        <w:lang w:val="en-US"/>
      </w:rPr>
      <w:drawing>
        <wp:anchor distT="0" distB="0" distL="114300" distR="114300" simplePos="0" relativeHeight="251659264" behindDoc="1" locked="0" layoutInCell="1" allowOverlap="1" wp14:anchorId="09530062" wp14:editId="7D441FA0">
          <wp:simplePos x="0" y="0"/>
          <wp:positionH relativeFrom="margin">
            <wp:align>center</wp:align>
          </wp:positionH>
          <wp:positionV relativeFrom="paragraph">
            <wp:posOffset>-372110</wp:posOffset>
          </wp:positionV>
          <wp:extent cx="1518285" cy="818515"/>
          <wp:effectExtent l="0" t="0" r="5715" b="635"/>
          <wp:wrapTight wrapText="bothSides">
            <wp:wrapPolygon edited="0">
              <wp:start x="0" y="0"/>
              <wp:lineTo x="0" y="21114"/>
              <wp:lineTo x="21410" y="21114"/>
              <wp:lineTo x="21410" y="0"/>
              <wp:lineTo x="0" y="0"/>
            </wp:wrapPolygon>
          </wp:wrapTight>
          <wp:docPr id="2" name="Picture 2" descr="http://www.socialincubatoreast.org.uk/wp-content/uploads/2015/06/TurtleDoveLogo-Black-287x1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ocialincubatoreast.org.uk/wp-content/uploads/2015/06/TurtleDoveLogo-Black-287x17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8185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3537F"/>
    <w:multiLevelType w:val="multilevel"/>
    <w:tmpl w:val="27C875AA"/>
    <w:lvl w:ilvl="0">
      <w:start w:val="1"/>
      <w:numFmt w:val="decimal"/>
      <w:lvlText w:val="%1."/>
      <w:lvlJc w:val="left"/>
      <w:pPr>
        <w:ind w:left="360" w:hanging="360"/>
      </w:pPr>
      <w:rPr>
        <w:rFonts w:cs="Times New Roman" w:hint="default"/>
        <w:sz w:val="28"/>
        <w:szCs w:val="28"/>
      </w:rPr>
    </w:lvl>
    <w:lvl w:ilvl="1">
      <w:start w:val="1"/>
      <w:numFmt w:val="decimal"/>
      <w:isLgl/>
      <w:lvlText w:val="%1.%2"/>
      <w:lvlJc w:val="left"/>
      <w:pPr>
        <w:tabs>
          <w:tab w:val="num" w:pos="360"/>
        </w:tabs>
        <w:ind w:left="360" w:hanging="360"/>
      </w:pPr>
      <w:rPr>
        <w:rFonts w:cs="Times New Roman" w:hint="default"/>
        <w:b/>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15:restartNumberingAfterBreak="0">
    <w:nsid w:val="14D97E56"/>
    <w:multiLevelType w:val="hybridMultilevel"/>
    <w:tmpl w:val="C9D81F5C"/>
    <w:lvl w:ilvl="0" w:tplc="08090001">
      <w:start w:val="1"/>
      <w:numFmt w:val="bullet"/>
      <w:lvlText w:val=""/>
      <w:lvlJc w:val="left"/>
      <w:pPr>
        <w:tabs>
          <w:tab w:val="num" w:pos="502"/>
        </w:tabs>
        <w:ind w:left="502"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CC64B8"/>
    <w:multiLevelType w:val="hybridMultilevel"/>
    <w:tmpl w:val="601ED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8C34C7"/>
    <w:multiLevelType w:val="hybridMultilevel"/>
    <w:tmpl w:val="68829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25078D"/>
    <w:multiLevelType w:val="hybridMultilevel"/>
    <w:tmpl w:val="D3529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663195"/>
    <w:multiLevelType w:val="hybridMultilevel"/>
    <w:tmpl w:val="BBFC44A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2D0E3596"/>
    <w:multiLevelType w:val="multilevel"/>
    <w:tmpl w:val="E2D0EBE4"/>
    <w:lvl w:ilvl="0">
      <w:start w:val="1"/>
      <w:numFmt w:val="decimal"/>
      <w:lvlText w:val="%1."/>
      <w:lvlJc w:val="left"/>
      <w:pPr>
        <w:tabs>
          <w:tab w:val="num" w:pos="360"/>
        </w:tabs>
        <w:ind w:left="360" w:hanging="360"/>
      </w:pPr>
      <w:rPr>
        <w:rFonts w:cs="Times New Roman"/>
        <w:sz w:val="28"/>
        <w:szCs w:val="28"/>
      </w:rPr>
    </w:lvl>
    <w:lvl w:ilvl="1">
      <w:start w:val="1"/>
      <w:numFmt w:val="decimal"/>
      <w:isLgl/>
      <w:lvlText w:val="%1.%2"/>
      <w:lvlJc w:val="left"/>
      <w:pPr>
        <w:tabs>
          <w:tab w:val="num" w:pos="360"/>
        </w:tabs>
        <w:ind w:left="360" w:hanging="360"/>
      </w:pPr>
      <w:rPr>
        <w:rFonts w:cs="Times New Roman" w:hint="default"/>
        <w:b/>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 w15:restartNumberingAfterBreak="0">
    <w:nsid w:val="2E425742"/>
    <w:multiLevelType w:val="hybridMultilevel"/>
    <w:tmpl w:val="7930A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946A8"/>
    <w:multiLevelType w:val="hybridMultilevel"/>
    <w:tmpl w:val="2468F512"/>
    <w:lvl w:ilvl="0" w:tplc="FF90D68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4F3C80"/>
    <w:multiLevelType w:val="hybridMultilevel"/>
    <w:tmpl w:val="829E53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5FB48C7"/>
    <w:multiLevelType w:val="hybridMultilevel"/>
    <w:tmpl w:val="D7B4C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6F277F"/>
    <w:multiLevelType w:val="multilevel"/>
    <w:tmpl w:val="8884BF22"/>
    <w:lvl w:ilvl="0">
      <w:start w:val="1"/>
      <w:numFmt w:val="decimal"/>
      <w:lvlText w:val="%1."/>
      <w:lvlJc w:val="left"/>
      <w:pPr>
        <w:ind w:left="360" w:hanging="360"/>
      </w:pPr>
      <w:rPr>
        <w:rFonts w:cs="Times New Roman" w:hint="default"/>
        <w:sz w:val="24"/>
        <w:szCs w:val="28"/>
      </w:rPr>
    </w:lvl>
    <w:lvl w:ilvl="1">
      <w:start w:val="1"/>
      <w:numFmt w:val="decimal"/>
      <w:isLgl/>
      <w:lvlText w:val="%1.%2"/>
      <w:lvlJc w:val="left"/>
      <w:pPr>
        <w:tabs>
          <w:tab w:val="num" w:pos="360"/>
        </w:tabs>
        <w:ind w:left="360" w:hanging="360"/>
      </w:pPr>
      <w:rPr>
        <w:rFonts w:cs="Times New Roman" w:hint="default"/>
        <w:b/>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2" w15:restartNumberingAfterBreak="0">
    <w:nsid w:val="6E4F2D0D"/>
    <w:multiLevelType w:val="multilevel"/>
    <w:tmpl w:val="19FC45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43F5405"/>
    <w:multiLevelType w:val="hybridMultilevel"/>
    <w:tmpl w:val="F7A044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1B02F2"/>
    <w:multiLevelType w:val="hybridMultilevel"/>
    <w:tmpl w:val="92844D5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16cid:durableId="1504583949">
    <w:abstractNumId w:val="1"/>
  </w:num>
  <w:num w:numId="2" w16cid:durableId="1179543426">
    <w:abstractNumId w:val="14"/>
  </w:num>
  <w:num w:numId="3" w16cid:durableId="1685205898">
    <w:abstractNumId w:val="11"/>
  </w:num>
  <w:num w:numId="4" w16cid:durableId="1149247915">
    <w:abstractNumId w:val="13"/>
  </w:num>
  <w:num w:numId="5" w16cid:durableId="2130272755">
    <w:abstractNumId w:val="9"/>
  </w:num>
  <w:num w:numId="6" w16cid:durableId="819541459">
    <w:abstractNumId w:val="4"/>
  </w:num>
  <w:num w:numId="7" w16cid:durableId="1148546878">
    <w:abstractNumId w:val="5"/>
  </w:num>
  <w:num w:numId="8" w16cid:durableId="197817632">
    <w:abstractNumId w:val="2"/>
  </w:num>
  <w:num w:numId="9" w16cid:durableId="734206291">
    <w:abstractNumId w:val="6"/>
  </w:num>
  <w:num w:numId="10" w16cid:durableId="913396831">
    <w:abstractNumId w:val="0"/>
  </w:num>
  <w:num w:numId="11" w16cid:durableId="608390046">
    <w:abstractNumId w:val="3"/>
  </w:num>
  <w:num w:numId="12" w16cid:durableId="482048696">
    <w:abstractNumId w:val="7"/>
  </w:num>
  <w:num w:numId="13" w16cid:durableId="1462109437">
    <w:abstractNumId w:val="8"/>
  </w:num>
  <w:num w:numId="14" w16cid:durableId="491530626">
    <w:abstractNumId w:val="12"/>
  </w:num>
  <w:num w:numId="15" w16cid:durableId="3681926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CE7"/>
    <w:rsid w:val="000952FB"/>
    <w:rsid w:val="000A26B8"/>
    <w:rsid w:val="000F372E"/>
    <w:rsid w:val="00150AA1"/>
    <w:rsid w:val="00203CE7"/>
    <w:rsid w:val="00222025"/>
    <w:rsid w:val="00237F97"/>
    <w:rsid w:val="00264EED"/>
    <w:rsid w:val="002777A9"/>
    <w:rsid w:val="002A3052"/>
    <w:rsid w:val="002E40A1"/>
    <w:rsid w:val="00371460"/>
    <w:rsid w:val="003A0CCA"/>
    <w:rsid w:val="003A7C35"/>
    <w:rsid w:val="004051D8"/>
    <w:rsid w:val="00431FD4"/>
    <w:rsid w:val="004926B0"/>
    <w:rsid w:val="004E0BD3"/>
    <w:rsid w:val="004F5FE6"/>
    <w:rsid w:val="00500BD7"/>
    <w:rsid w:val="00570777"/>
    <w:rsid w:val="00620DAD"/>
    <w:rsid w:val="00622B07"/>
    <w:rsid w:val="00652EBB"/>
    <w:rsid w:val="006A7DD2"/>
    <w:rsid w:val="00723C8B"/>
    <w:rsid w:val="00734EBC"/>
    <w:rsid w:val="007904D3"/>
    <w:rsid w:val="007A758F"/>
    <w:rsid w:val="008000B9"/>
    <w:rsid w:val="0085284C"/>
    <w:rsid w:val="008C52AF"/>
    <w:rsid w:val="008E0061"/>
    <w:rsid w:val="00965A87"/>
    <w:rsid w:val="009B47D5"/>
    <w:rsid w:val="009D00DB"/>
    <w:rsid w:val="00AC518D"/>
    <w:rsid w:val="00B60234"/>
    <w:rsid w:val="00B80A44"/>
    <w:rsid w:val="00B84886"/>
    <w:rsid w:val="00C517B6"/>
    <w:rsid w:val="00CD4ACB"/>
    <w:rsid w:val="00D34583"/>
    <w:rsid w:val="00DA112E"/>
    <w:rsid w:val="00DB3B3D"/>
    <w:rsid w:val="00E436CC"/>
    <w:rsid w:val="00E80A2F"/>
    <w:rsid w:val="00E91A26"/>
    <w:rsid w:val="00FD561D"/>
    <w:rsid w:val="5D5CA3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C87AB5"/>
  <w15:docId w15:val="{7A01885D-C888-4B49-A606-8105CDBE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C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3CE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CharStyle3">
    <w:name w:val="Char Style 3"/>
    <w:basedOn w:val="DefaultParagraphFont"/>
    <w:link w:val="Style2"/>
    <w:uiPriority w:val="99"/>
    <w:rsid w:val="00203CE7"/>
    <w:rPr>
      <w:rFonts w:ascii="Arial" w:hAnsi="Arial" w:cs="Arial"/>
      <w:sz w:val="19"/>
      <w:szCs w:val="19"/>
      <w:shd w:val="clear" w:color="auto" w:fill="FFFFFF"/>
    </w:rPr>
  </w:style>
  <w:style w:type="paragraph" w:customStyle="1" w:styleId="Style2">
    <w:name w:val="Style 2"/>
    <w:basedOn w:val="Normal"/>
    <w:link w:val="CharStyle3"/>
    <w:uiPriority w:val="99"/>
    <w:rsid w:val="00203CE7"/>
    <w:pPr>
      <w:widowControl w:val="0"/>
      <w:shd w:val="clear" w:color="auto" w:fill="FFFFFF"/>
      <w:spacing w:line="270" w:lineRule="exact"/>
      <w:outlineLvl w:val="0"/>
    </w:pPr>
    <w:rPr>
      <w:rFonts w:ascii="Arial" w:eastAsiaTheme="minorHAnsi" w:hAnsi="Arial" w:cs="Arial"/>
      <w:sz w:val="19"/>
      <w:szCs w:val="19"/>
    </w:rPr>
  </w:style>
  <w:style w:type="paragraph" w:styleId="Header">
    <w:name w:val="header"/>
    <w:basedOn w:val="Normal"/>
    <w:link w:val="HeaderChar"/>
    <w:uiPriority w:val="99"/>
    <w:unhideWhenUsed/>
    <w:rsid w:val="00203CE7"/>
    <w:pPr>
      <w:tabs>
        <w:tab w:val="center" w:pos="4513"/>
        <w:tab w:val="right" w:pos="9026"/>
      </w:tabs>
    </w:pPr>
  </w:style>
  <w:style w:type="character" w:customStyle="1" w:styleId="HeaderChar">
    <w:name w:val="Header Char"/>
    <w:basedOn w:val="DefaultParagraphFont"/>
    <w:link w:val="Header"/>
    <w:uiPriority w:val="99"/>
    <w:rsid w:val="00203C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03CE7"/>
    <w:pPr>
      <w:tabs>
        <w:tab w:val="center" w:pos="4513"/>
        <w:tab w:val="right" w:pos="9026"/>
      </w:tabs>
    </w:pPr>
  </w:style>
  <w:style w:type="character" w:customStyle="1" w:styleId="FooterChar">
    <w:name w:val="Footer Char"/>
    <w:basedOn w:val="DefaultParagraphFont"/>
    <w:link w:val="Footer"/>
    <w:uiPriority w:val="99"/>
    <w:rsid w:val="00203CE7"/>
    <w:rPr>
      <w:rFonts w:ascii="Times New Roman" w:eastAsia="Times New Roman" w:hAnsi="Times New Roman" w:cs="Times New Roman"/>
      <w:sz w:val="24"/>
      <w:szCs w:val="24"/>
    </w:rPr>
  </w:style>
  <w:style w:type="paragraph" w:styleId="ListParagraph">
    <w:name w:val="List Paragraph"/>
    <w:basedOn w:val="Normal"/>
    <w:uiPriority w:val="34"/>
    <w:qFormat/>
    <w:rsid w:val="00150AA1"/>
    <w:pPr>
      <w:ind w:left="720"/>
      <w:contextualSpacing/>
    </w:pPr>
  </w:style>
  <w:style w:type="table" w:styleId="LightGrid-Accent5">
    <w:name w:val="Light Grid Accent 5"/>
    <w:basedOn w:val="TableNormal"/>
    <w:uiPriority w:val="62"/>
    <w:rsid w:val="006A7DD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List-Accent5">
    <w:name w:val="Light List Accent 5"/>
    <w:basedOn w:val="TableNormal"/>
    <w:uiPriority w:val="61"/>
    <w:rsid w:val="006A7DD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CommentReference">
    <w:name w:val="annotation reference"/>
    <w:basedOn w:val="DefaultParagraphFont"/>
    <w:uiPriority w:val="99"/>
    <w:semiHidden/>
    <w:unhideWhenUsed/>
    <w:rsid w:val="00CD4ACB"/>
    <w:rPr>
      <w:sz w:val="16"/>
      <w:szCs w:val="16"/>
    </w:rPr>
  </w:style>
  <w:style w:type="paragraph" w:styleId="CommentText">
    <w:name w:val="annotation text"/>
    <w:basedOn w:val="Normal"/>
    <w:link w:val="CommentTextChar"/>
    <w:uiPriority w:val="99"/>
    <w:semiHidden/>
    <w:unhideWhenUsed/>
    <w:rsid w:val="00CD4ACB"/>
    <w:rPr>
      <w:sz w:val="20"/>
      <w:szCs w:val="20"/>
    </w:rPr>
  </w:style>
  <w:style w:type="character" w:customStyle="1" w:styleId="CommentTextChar">
    <w:name w:val="Comment Text Char"/>
    <w:basedOn w:val="DefaultParagraphFont"/>
    <w:link w:val="CommentText"/>
    <w:uiPriority w:val="99"/>
    <w:semiHidden/>
    <w:rsid w:val="00CD4A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D4ACB"/>
    <w:rPr>
      <w:b/>
      <w:bCs/>
    </w:rPr>
  </w:style>
  <w:style w:type="character" w:customStyle="1" w:styleId="CommentSubjectChar">
    <w:name w:val="Comment Subject Char"/>
    <w:basedOn w:val="CommentTextChar"/>
    <w:link w:val="CommentSubject"/>
    <w:uiPriority w:val="99"/>
    <w:semiHidden/>
    <w:rsid w:val="00CD4AC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D4ACB"/>
    <w:rPr>
      <w:sz w:val="18"/>
      <w:szCs w:val="18"/>
    </w:rPr>
  </w:style>
  <w:style w:type="character" w:customStyle="1" w:styleId="BalloonTextChar">
    <w:name w:val="Balloon Text Char"/>
    <w:basedOn w:val="DefaultParagraphFont"/>
    <w:link w:val="BalloonText"/>
    <w:uiPriority w:val="99"/>
    <w:semiHidden/>
    <w:rsid w:val="00CD4ACB"/>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589054">
      <w:bodyDiv w:val="1"/>
      <w:marLeft w:val="0"/>
      <w:marRight w:val="0"/>
      <w:marTop w:val="0"/>
      <w:marBottom w:val="0"/>
      <w:divBdr>
        <w:top w:val="none" w:sz="0" w:space="0" w:color="auto"/>
        <w:left w:val="none" w:sz="0" w:space="0" w:color="auto"/>
        <w:bottom w:val="none" w:sz="0" w:space="0" w:color="auto"/>
        <w:right w:val="none" w:sz="0" w:space="0" w:color="auto"/>
      </w:divBdr>
    </w:div>
    <w:div w:id="1328627120">
      <w:bodyDiv w:val="1"/>
      <w:marLeft w:val="0"/>
      <w:marRight w:val="0"/>
      <w:marTop w:val="0"/>
      <w:marBottom w:val="0"/>
      <w:divBdr>
        <w:top w:val="none" w:sz="0" w:space="0" w:color="auto"/>
        <w:left w:val="none" w:sz="0" w:space="0" w:color="auto"/>
        <w:bottom w:val="none" w:sz="0" w:space="0" w:color="auto"/>
        <w:right w:val="none" w:sz="0" w:space="0" w:color="auto"/>
      </w:divBdr>
    </w:div>
    <w:div w:id="200369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2108</Words>
  <Characters>12021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Charlotte-Fay White</dc:creator>
  <cp:lastModifiedBy>Miriam Storey</cp:lastModifiedBy>
  <cp:revision>3</cp:revision>
  <dcterms:created xsi:type="dcterms:W3CDTF">2023-09-08T22:25:00Z</dcterms:created>
  <dcterms:modified xsi:type="dcterms:W3CDTF">2024-02-16T14:57:00Z</dcterms:modified>
</cp:coreProperties>
</file>